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F4AA77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210745">
        <w:rPr>
          <w:bCs/>
          <w:noProof w:val="0"/>
          <w:sz w:val="24"/>
          <w:szCs w:val="24"/>
        </w:rPr>
        <w:t>10357</w:t>
      </w:r>
    </w:p>
    <w:p w14:paraId="11776FA6" w14:textId="1E2BF207" w:rsidR="00A209D6" w:rsidRPr="001D4861" w:rsidRDefault="00A36F5F" w:rsidP="00A209D6">
      <w:pPr>
        <w:pStyle w:val="Header"/>
        <w:tabs>
          <w:tab w:val="right" w:pos="9639"/>
        </w:tabs>
        <w:rPr>
          <w:rFonts w:eastAsia="SimSun"/>
          <w:bCs/>
          <w:sz w:val="24"/>
          <w:szCs w:val="24"/>
          <w:lang w:val="pt-BR" w:eastAsia="zh-CN"/>
        </w:rPr>
      </w:pPr>
      <w:r w:rsidRPr="001D4861">
        <w:rPr>
          <w:rFonts w:eastAsia="SimSun"/>
          <w:bCs/>
          <w:sz w:val="24"/>
          <w:szCs w:val="24"/>
          <w:lang w:val="pt-BR" w:eastAsia="zh-CN"/>
        </w:rPr>
        <w:t xml:space="preserve">Elbonia, </w:t>
      </w:r>
      <w:r w:rsidR="00A17176" w:rsidRPr="001D4861">
        <w:rPr>
          <w:rFonts w:eastAsia="SimSun"/>
          <w:bCs/>
          <w:sz w:val="24"/>
          <w:szCs w:val="24"/>
          <w:lang w:val="pt-BR" w:eastAsia="zh-CN"/>
        </w:rPr>
        <w:t>10</w:t>
      </w:r>
      <w:r w:rsidR="005C7CD5" w:rsidRPr="001D4861">
        <w:rPr>
          <w:rFonts w:eastAsia="SimSun"/>
          <w:bCs/>
          <w:sz w:val="24"/>
          <w:szCs w:val="24"/>
          <w:lang w:val="pt-BR" w:eastAsia="zh-CN"/>
        </w:rPr>
        <w:t xml:space="preserve"> – </w:t>
      </w:r>
      <w:r w:rsidR="00A17176" w:rsidRPr="001D4861">
        <w:rPr>
          <w:rFonts w:eastAsia="SimSun"/>
          <w:bCs/>
          <w:sz w:val="24"/>
          <w:szCs w:val="24"/>
          <w:lang w:val="pt-BR" w:eastAsia="zh-CN"/>
        </w:rPr>
        <w:t>19</w:t>
      </w:r>
      <w:r w:rsidR="005C7CD5" w:rsidRPr="001D4861">
        <w:rPr>
          <w:rFonts w:eastAsia="SimSun"/>
          <w:bCs/>
          <w:sz w:val="24"/>
          <w:szCs w:val="24"/>
          <w:lang w:val="pt-BR" w:eastAsia="zh-CN"/>
        </w:rPr>
        <w:t xml:space="preserve"> </w:t>
      </w:r>
      <w:r w:rsidR="00A17176" w:rsidRPr="001D4861">
        <w:rPr>
          <w:rFonts w:eastAsia="SimSun"/>
          <w:bCs/>
          <w:sz w:val="24"/>
          <w:szCs w:val="24"/>
          <w:lang w:val="pt-BR" w:eastAsia="zh-CN"/>
        </w:rPr>
        <w:t>October</w:t>
      </w:r>
      <w:r w:rsidR="005C7CD5" w:rsidRPr="001D4861">
        <w:rPr>
          <w:rFonts w:eastAsia="SimSun"/>
          <w:bCs/>
          <w:sz w:val="24"/>
          <w:szCs w:val="24"/>
          <w:lang w:val="pt-BR" w:eastAsia="zh-CN"/>
        </w:rPr>
        <w:t xml:space="preserve"> 2022</w:t>
      </w:r>
      <w:r w:rsidR="00A209D6" w:rsidRPr="001D4861">
        <w:rPr>
          <w:rFonts w:eastAsia="SimSun"/>
          <w:noProof w:val="0"/>
          <w:sz w:val="24"/>
          <w:szCs w:val="24"/>
          <w:lang w:val="pt-BR" w:eastAsia="zh-CN"/>
        </w:rPr>
        <w:tab/>
      </w:r>
    </w:p>
    <w:p w14:paraId="2E02E5F5" w14:textId="77777777" w:rsidR="00A209D6" w:rsidRPr="001D4861" w:rsidRDefault="00A209D6" w:rsidP="00A209D6">
      <w:pPr>
        <w:pStyle w:val="Header"/>
        <w:rPr>
          <w:bCs/>
          <w:noProof w:val="0"/>
          <w:sz w:val="24"/>
          <w:lang w:val="pt-BR"/>
        </w:rPr>
      </w:pPr>
    </w:p>
    <w:p w14:paraId="403CB9C0" w14:textId="77777777" w:rsidR="00A209D6" w:rsidRPr="001D4861" w:rsidRDefault="00A209D6" w:rsidP="00A209D6">
      <w:pPr>
        <w:pStyle w:val="Header"/>
        <w:rPr>
          <w:bCs/>
          <w:noProof w:val="0"/>
          <w:sz w:val="24"/>
          <w:lang w:val="pt-BR"/>
        </w:rPr>
      </w:pPr>
    </w:p>
    <w:p w14:paraId="310B92C9" w14:textId="11FCC3B0" w:rsidR="00446C3A" w:rsidRPr="001D4861" w:rsidRDefault="00446C3A" w:rsidP="00446C3A">
      <w:pPr>
        <w:pStyle w:val="CRCoverPage"/>
        <w:tabs>
          <w:tab w:val="left" w:pos="1985"/>
        </w:tabs>
        <w:rPr>
          <w:rFonts w:cs="Arial"/>
          <w:b/>
          <w:bCs/>
          <w:sz w:val="24"/>
          <w:lang w:val="pt-BR" w:eastAsia="ja-JP"/>
        </w:rPr>
      </w:pPr>
      <w:r w:rsidRPr="001D4861">
        <w:rPr>
          <w:rFonts w:cs="Arial"/>
          <w:b/>
          <w:bCs/>
          <w:sz w:val="24"/>
          <w:lang w:val="pt-BR"/>
        </w:rPr>
        <w:t>Agenda item:</w:t>
      </w:r>
      <w:r w:rsidRPr="001D4861">
        <w:rPr>
          <w:rFonts w:cs="Arial"/>
          <w:b/>
          <w:bCs/>
          <w:sz w:val="24"/>
          <w:lang w:val="pt-BR"/>
        </w:rPr>
        <w:tab/>
      </w:r>
      <w:r w:rsidR="00E9200A" w:rsidRPr="001D4861">
        <w:rPr>
          <w:rFonts w:cs="Arial"/>
          <w:b/>
          <w:bCs/>
          <w:sz w:val="24"/>
          <w:lang w:val="pt-BR"/>
        </w:rPr>
        <w:t>8</w:t>
      </w:r>
      <w:r w:rsidRPr="001D4861">
        <w:rPr>
          <w:rFonts w:cs="Arial"/>
          <w:b/>
          <w:bCs/>
          <w:sz w:val="24"/>
          <w:lang w:val="pt-BR" w:eastAsia="ja-JP"/>
        </w:rPr>
        <w:t>.</w:t>
      </w:r>
      <w:r w:rsidR="00E9200A" w:rsidRPr="001D4861">
        <w:rPr>
          <w:rFonts w:cs="Arial"/>
          <w:b/>
          <w:bCs/>
          <w:sz w:val="24"/>
          <w:lang w:val="pt-BR" w:eastAsia="ja-JP"/>
        </w:rPr>
        <w:t>15</w:t>
      </w:r>
      <w:r w:rsidRPr="001D4861">
        <w:rPr>
          <w:rFonts w:cs="Arial"/>
          <w:b/>
          <w:bCs/>
          <w:sz w:val="24"/>
          <w:lang w:val="pt-BR" w:eastAsia="ja-JP"/>
        </w:rPr>
        <w:t>.</w:t>
      </w:r>
      <w:r w:rsidR="00571671" w:rsidRPr="001D4861">
        <w:rPr>
          <w:rFonts w:cs="Arial"/>
          <w:b/>
          <w:bCs/>
          <w:sz w:val="24"/>
          <w:lang w:val="pt-BR"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218F0E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1671">
        <w:rPr>
          <w:rFonts w:ascii="Arial" w:hAnsi="Arial" w:cs="Arial"/>
          <w:b/>
          <w:bCs/>
          <w:sz w:val="24"/>
        </w:rPr>
        <w:t>On channel access priority class and HARQ feedback</w:t>
      </w:r>
    </w:p>
    <w:p w14:paraId="25F387E8" w14:textId="398E49A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D136F" w:rsidRPr="00FD136F">
        <w:rPr>
          <w:rFonts w:ascii="Arial" w:hAnsi="Arial" w:cs="Arial"/>
          <w:b/>
          <w:bCs/>
          <w:sz w:val="24"/>
        </w:rPr>
        <w:t>NR_SL_enh2</w:t>
      </w:r>
      <w:r w:rsidRPr="00112F1A">
        <w:rPr>
          <w:rFonts w:ascii="Arial" w:hAnsi="Arial" w:cs="Arial"/>
          <w:b/>
          <w:bCs/>
          <w:sz w:val="24"/>
        </w:rPr>
        <w:t xml:space="preserve"> </w:t>
      </w:r>
      <w:r>
        <w:rPr>
          <w:rFonts w:ascii="Arial" w:hAnsi="Arial" w:cs="Arial"/>
          <w:b/>
          <w:bCs/>
          <w:sz w:val="24"/>
        </w:rPr>
        <w:t xml:space="preserve">- Release </w:t>
      </w:r>
      <w:r w:rsidR="00FD136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4ECD39" w14:textId="487B3D7C" w:rsidR="00CD6285" w:rsidRPr="00E5465C" w:rsidRDefault="00CD6285" w:rsidP="00CD6285">
      <w:pPr>
        <w:pStyle w:val="ListParagraph"/>
        <w:spacing w:before="120" w:after="120"/>
        <w:ind w:left="0"/>
        <w:contextualSpacing w:val="0"/>
        <w:jc w:val="both"/>
        <w:rPr>
          <w:lang w:val="en-US"/>
        </w:rPr>
      </w:pPr>
      <w:bookmarkStart w:id="0" w:name="_Hlk525462591"/>
      <w:r w:rsidRPr="00E5465C">
        <w:rPr>
          <w:lang w:val="en-US"/>
        </w:rPr>
        <w:t>In RAN Meeting #96, the WID on NR sidelink evolution was agreed; the most recent WID is [</w:t>
      </w:r>
      <w:hyperlink r:id="rId12" w:history="1">
        <w:r w:rsidRPr="00E5465C">
          <w:rPr>
            <w:rStyle w:val="Hyperlink"/>
            <w:lang w:val="en-US"/>
          </w:rPr>
          <w:t>1</w:t>
        </w:r>
      </w:hyperlink>
      <w:r w:rsidRPr="00E5465C">
        <w:rPr>
          <w:lang w:val="en-US"/>
        </w:rPr>
        <w:t>]. It includes the following objective for operation of sidelink in unlicensed spectrum:</w:t>
      </w:r>
    </w:p>
    <w:tbl>
      <w:tblPr>
        <w:tblStyle w:val="TableGrid"/>
        <w:tblW w:w="0" w:type="auto"/>
        <w:tblLook w:val="04A0" w:firstRow="1" w:lastRow="0" w:firstColumn="1" w:lastColumn="0" w:noHBand="0" w:noVBand="1"/>
      </w:tblPr>
      <w:tblGrid>
        <w:gridCol w:w="9631"/>
      </w:tblGrid>
      <w:tr w:rsidR="00CD6285" w:rsidRPr="00E5465C" w14:paraId="2C896922" w14:textId="77777777" w:rsidTr="0035389C">
        <w:tc>
          <w:tcPr>
            <w:tcW w:w="9962" w:type="dxa"/>
          </w:tcPr>
          <w:bookmarkEnd w:id="0"/>
          <w:p w14:paraId="1F23E2A5" w14:textId="77777777" w:rsidR="00CD6285" w:rsidRPr="00E5465C" w:rsidRDefault="00CD6285" w:rsidP="0035389C">
            <w:pPr>
              <w:spacing w:before="120" w:after="0"/>
              <w:ind w:left="426" w:hanging="284"/>
              <w:rPr>
                <w:rFonts w:ascii="Times New Roman" w:eastAsia="Batang" w:hAnsi="Times New Roman"/>
                <w:lang w:eastAsia="en-GB"/>
              </w:rPr>
            </w:pPr>
            <w:r w:rsidRPr="00E5465C">
              <w:rPr>
                <w:rFonts w:ascii="Times New Roman" w:eastAsia="Batang" w:hAnsi="Times New Roman"/>
                <w:lang w:eastAsia="en-GB"/>
              </w:rPr>
              <w:t>2.</w:t>
            </w:r>
            <w:r w:rsidRPr="00E5465C">
              <w:rPr>
                <w:rFonts w:ascii="Times New Roman" w:eastAsia="Batang" w:hAnsi="Times New Roman"/>
                <w:lang w:eastAsia="en-GB"/>
              </w:rPr>
              <w:tab/>
              <w:t xml:space="preserve">Study and specify support of sidelink on unlicensed spectrum for both mode 1 and mode 2 where </w:t>
            </w:r>
            <w:proofErr w:type="spellStart"/>
            <w:r w:rsidRPr="00E5465C">
              <w:rPr>
                <w:rFonts w:ascii="Times New Roman" w:eastAsia="Batang" w:hAnsi="Times New Roman"/>
                <w:lang w:eastAsia="en-GB"/>
              </w:rPr>
              <w:t>Uu</w:t>
            </w:r>
            <w:proofErr w:type="spellEnd"/>
            <w:r w:rsidRPr="00E5465C">
              <w:rPr>
                <w:rFonts w:ascii="Times New Roman" w:eastAsia="Batang" w:hAnsi="Times New Roman"/>
                <w:lang w:eastAsia="en-GB"/>
              </w:rPr>
              <w:t xml:space="preserve"> operation for mode 1 is limited to licensed spectrum only [RAN1, RAN2, RAN4]</w:t>
            </w:r>
          </w:p>
          <w:p w14:paraId="3EBA8CBD" w14:textId="77777777" w:rsidR="00CD6285" w:rsidRPr="00E5465C" w:rsidRDefault="00CD6285" w:rsidP="0035389C">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Channel access mechanisms from NR-U shall be reused for sidelink unlicensed operation</w:t>
            </w:r>
          </w:p>
          <w:p w14:paraId="15B5FC5D" w14:textId="77777777" w:rsidR="00CD6285" w:rsidRPr="00E5465C" w:rsidRDefault="00CD6285" w:rsidP="0035389C">
            <w:pPr>
              <w:spacing w:before="60" w:after="60"/>
              <w:ind w:left="1418" w:hanging="284"/>
              <w:rPr>
                <w:rFonts w:ascii="Times New Roman" w:eastAsia="Batang" w:hAnsi="Times New Roman"/>
                <w:lang w:eastAsia="ko-KR"/>
              </w:rPr>
            </w:pPr>
            <w:bookmarkStart w:id="1" w:name="_Hlk89917081"/>
            <w:r w:rsidRPr="00E5465C">
              <w:rPr>
                <w:rFonts w:ascii="Times New Roman" w:eastAsia="Batang" w:hAnsi="Times New Roman"/>
                <w:lang w:eastAsia="ko-KR"/>
              </w:rPr>
              <w:t>o</w:t>
            </w:r>
            <w:r w:rsidRPr="00E5465C">
              <w:rPr>
                <w:rFonts w:ascii="Times New Roman" w:eastAsia="Batang" w:hAnsi="Times New Roman"/>
                <w:lang w:eastAsia="ko-KR"/>
              </w:rPr>
              <w:tab/>
              <w:t>Assess the applicability of sidelink resource reservation from Rel-16/Rel-17 to sidelink unlicensed operation within the boundaries of unlicensed channel access mechanism and operation</w:t>
            </w:r>
          </w:p>
          <w:p w14:paraId="019F3D20" w14:textId="77777777" w:rsidR="00CD6285" w:rsidRPr="00E5465C" w:rsidRDefault="00CD6285" w:rsidP="0035389C">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No specific enhancements for Rel-17 resource allocation mechanisms</w:t>
            </w:r>
            <w:bookmarkEnd w:id="1"/>
          </w:p>
          <w:p w14:paraId="54F8B716" w14:textId="77777777" w:rsidR="00CD6285" w:rsidRPr="00E5465C" w:rsidRDefault="00CD6285" w:rsidP="0035389C">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If the existing NR-U channel access framework does not support the required SL-U functionality, WGs will make appropriate recommendations for RAN approval.</w:t>
            </w:r>
          </w:p>
          <w:p w14:paraId="6494A540" w14:textId="77777777" w:rsidR="00CD6285" w:rsidRPr="00E5465C" w:rsidRDefault="00CD6285" w:rsidP="0035389C">
            <w:pPr>
              <w:spacing w:before="60" w:after="60"/>
              <w:ind w:left="993" w:hanging="284"/>
              <w:rPr>
                <w:rFonts w:ascii="Times New Roman" w:eastAsia="Batang" w:hAnsi="Times New Roman"/>
                <w:lang w:eastAsia="ko-KR"/>
              </w:rPr>
            </w:pPr>
            <w:bookmarkStart w:id="2" w:name="_Hlk89917101"/>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Physical channel design framework: Required changes to NR sidelink physical channel structures and procedures to operate on unlicensed spectrum</w:t>
            </w:r>
            <w:bookmarkEnd w:id="2"/>
          </w:p>
          <w:p w14:paraId="359480E3" w14:textId="77777777" w:rsidR="00CD6285" w:rsidRPr="00E5465C" w:rsidRDefault="00CD6285" w:rsidP="0035389C">
            <w:pPr>
              <w:spacing w:before="60" w:after="60"/>
              <w:ind w:left="1418" w:hanging="284"/>
              <w:rPr>
                <w:rFonts w:ascii="Times New Roman" w:eastAsia="Batang" w:hAnsi="Times New Roman"/>
                <w:lang w:eastAsia="ko-KR"/>
              </w:rPr>
            </w:pPr>
            <w:bookmarkStart w:id="3" w:name="_Hlk89917118"/>
            <w:r w:rsidRPr="00E5465C">
              <w:rPr>
                <w:rFonts w:ascii="Times New Roman" w:eastAsia="Batang" w:hAnsi="Times New Roman"/>
                <w:lang w:eastAsia="ko-KR"/>
              </w:rPr>
              <w:t>o</w:t>
            </w:r>
            <w:r w:rsidRPr="00E5465C">
              <w:rPr>
                <w:rFonts w:ascii="Times New Roman" w:eastAsia="Batang" w:hAnsi="Times New Roman"/>
                <w:lang w:eastAsia="ko-KR"/>
              </w:rPr>
              <w:tab/>
            </w:r>
            <w:proofErr w:type="gramStart"/>
            <w:r w:rsidRPr="00E5465C">
              <w:rPr>
                <w:rFonts w:ascii="Times New Roman" w:eastAsia="Batang" w:hAnsi="Times New Roman"/>
                <w:lang w:eastAsia="ko-KR"/>
              </w:rPr>
              <w:t>The</w:t>
            </w:r>
            <w:proofErr w:type="gramEnd"/>
            <w:r w:rsidRPr="00E5465C">
              <w:rPr>
                <w:rFonts w:ascii="Times New Roman" w:eastAsia="Batang" w:hAnsi="Times New Roman"/>
                <w:lang w:eastAsia="ko-KR"/>
              </w:rPr>
              <w:t xml:space="preserve"> existing NR sidelink and NR-U channel structure shall be reused </w:t>
            </w:r>
            <w:bookmarkEnd w:id="3"/>
            <w:r w:rsidRPr="00E5465C">
              <w:rPr>
                <w:rFonts w:ascii="Times New Roman" w:eastAsia="Batang" w:hAnsi="Times New Roman"/>
                <w:lang w:eastAsia="ko-KR"/>
              </w:rPr>
              <w:t>as the baseline.</w:t>
            </w:r>
          </w:p>
          <w:p w14:paraId="1D2148E0" w14:textId="77777777" w:rsidR="00CD6285" w:rsidRPr="00E5465C" w:rsidRDefault="00CD6285" w:rsidP="0035389C">
            <w:pPr>
              <w:spacing w:before="60" w:after="60"/>
              <w:ind w:left="993" w:hanging="284"/>
              <w:rPr>
                <w:rFonts w:ascii="Times New Roman" w:eastAsia="Batang" w:hAnsi="Times New Roman"/>
                <w:lang w:eastAsia="ko-KR"/>
              </w:rPr>
            </w:pPr>
            <w:bookmarkStart w:id="4" w:name="_Hlk89917140"/>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 specific enhancements for existing NR SL feature</w:t>
            </w:r>
            <w:bookmarkEnd w:id="4"/>
          </w:p>
          <w:p w14:paraId="20F58CFF" w14:textId="77777777" w:rsidR="00CD6285" w:rsidRPr="00E5465C" w:rsidRDefault="00CD6285" w:rsidP="0035389C">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The study should focus on FR1 unlicensed bands (n46 and n96/n102) and is to be completed by RAN#98</w:t>
            </w:r>
            <w:bookmarkStart w:id="5" w:name="_Hlk89917215"/>
            <w:r w:rsidRPr="00E5465C">
              <w:rPr>
                <w:rFonts w:ascii="Times New Roman" w:eastAsia="Batang" w:hAnsi="Times New Roman"/>
                <w:lang w:eastAsia="ko-KR"/>
              </w:rPr>
              <w:t>.</w:t>
            </w:r>
            <w:bookmarkEnd w:id="5"/>
          </w:p>
          <w:p w14:paraId="072EE164" w14:textId="77777777" w:rsidR="00CD6285" w:rsidRPr="00E5465C" w:rsidRDefault="00CD6285" w:rsidP="0035389C">
            <w:pPr>
              <w:spacing w:before="60" w:after="60"/>
              <w:ind w:left="993" w:hanging="284"/>
              <w:rPr>
                <w:rFonts w:ascii="Times New Roman"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854EE57" w14:textId="4F8D0440" w:rsidR="009339CB" w:rsidRDefault="00CD6285" w:rsidP="009339CB">
      <w:r w:rsidRPr="00E5465C">
        <w:rPr>
          <w:lang w:val="en-US"/>
        </w:rPr>
        <w:t xml:space="preserve">In this contribution, we discuss aspects related to </w:t>
      </w:r>
      <w:r w:rsidR="00A31080" w:rsidRPr="00A31080">
        <w:rPr>
          <w:lang w:val="en-US"/>
        </w:rPr>
        <w:t xml:space="preserve">channel access priority class </w:t>
      </w:r>
      <w:r w:rsidR="00A31080">
        <w:rPr>
          <w:lang w:val="en-US"/>
        </w:rPr>
        <w:t xml:space="preserve">mapping </w:t>
      </w:r>
      <w:r w:rsidR="00A31080" w:rsidRPr="00A31080">
        <w:rPr>
          <w:lang w:val="en-US"/>
        </w:rPr>
        <w:t>and HARQ feedback</w:t>
      </w:r>
      <w:r w:rsidRPr="00E5465C">
        <w:rPr>
          <w:lang w:val="en-US"/>
        </w:rPr>
        <w:t>.</w:t>
      </w:r>
    </w:p>
    <w:p w14:paraId="7D484B6E" w14:textId="64D753AF" w:rsidR="009339CB" w:rsidRPr="006E13D1" w:rsidRDefault="009339CB" w:rsidP="009339CB">
      <w:pPr>
        <w:pStyle w:val="Heading1"/>
      </w:pPr>
      <w:r w:rsidRPr="006E13D1">
        <w:t>2</w:t>
      </w:r>
      <w:r w:rsidRPr="006E13D1">
        <w:tab/>
      </w:r>
      <w:r w:rsidR="00D756F7">
        <w:t>On channel access priority class</w:t>
      </w:r>
    </w:p>
    <w:p w14:paraId="5982B445" w14:textId="2F3857DA" w:rsidR="009339CB" w:rsidRPr="006E13D1" w:rsidRDefault="009339CB" w:rsidP="009339CB">
      <w:pPr>
        <w:pStyle w:val="Heading2"/>
      </w:pPr>
      <w:r>
        <w:t>2</w:t>
      </w:r>
      <w:r w:rsidRPr="006E13D1">
        <w:t>.1</w:t>
      </w:r>
      <w:r w:rsidRPr="006E13D1">
        <w:tab/>
      </w:r>
      <w:r w:rsidR="00ED609E">
        <w:t>Introduction to</w:t>
      </w:r>
      <w:r w:rsidR="00D756F7">
        <w:t xml:space="preserve"> channel access mechanisms</w:t>
      </w:r>
    </w:p>
    <w:p w14:paraId="6294FE02" w14:textId="77777777" w:rsidR="009B3853" w:rsidRPr="00E5465C" w:rsidRDefault="009B3853" w:rsidP="009B3853">
      <w:pPr>
        <w:spacing w:after="120"/>
        <w:jc w:val="both"/>
        <w:rPr>
          <w:lang w:val="en-US"/>
        </w:rPr>
      </w:pPr>
      <w:r w:rsidRPr="00E5465C">
        <w:rPr>
          <w:lang w:val="en-US"/>
        </w:rPr>
        <w:t xml:space="preserve">Co-existence mechanism based on energy-detection listen-before-talk (LBT) procedure is required in some regions / bands and, hence, needs to be included in the SL unlicensed concept. Further, beyond regulatory requirements, NR SL-U should operate as a “good neighbor” towards all legacy systems, for example, NR-U, </w:t>
      </w:r>
      <w:proofErr w:type="spellStart"/>
      <w:r w:rsidRPr="00E5465C">
        <w:rPr>
          <w:lang w:val="en-US"/>
        </w:rPr>
        <w:t>WiFi</w:t>
      </w:r>
      <w:proofErr w:type="spellEnd"/>
      <w:r w:rsidRPr="00E5465C">
        <w:rPr>
          <w:lang w:val="en-US"/>
        </w:rPr>
        <w:t xml:space="preserve"> variants and LTE LAA. Energy detection based LBT procedure is simple and efficient mechanism for that. As noted in the WID, channel access mechanisms from NR-U shall be reused for sidelink unlicensed operation.</w:t>
      </w:r>
    </w:p>
    <w:p w14:paraId="175CEE1E" w14:textId="2C75C145" w:rsidR="009339CB" w:rsidRPr="001D4861" w:rsidRDefault="009B3853" w:rsidP="009B3853">
      <w:pPr>
        <w:rPr>
          <w:iCs/>
        </w:rPr>
      </w:pPr>
      <w:r w:rsidRPr="001D4861">
        <w:rPr>
          <w:b/>
          <w:iCs/>
          <w:lang w:val="en-US"/>
        </w:rPr>
        <w:t xml:space="preserve">Observation </w:t>
      </w:r>
      <w:r w:rsidRPr="001D4861">
        <w:rPr>
          <w:b/>
          <w:iCs/>
          <w:color w:val="2B579A"/>
          <w:shd w:val="clear" w:color="auto" w:fill="E6E6E6"/>
          <w:lang w:val="en-US"/>
        </w:rPr>
        <w:fldChar w:fldCharType="begin"/>
      </w:r>
      <w:r w:rsidRPr="001D4861">
        <w:rPr>
          <w:b/>
          <w:iCs/>
          <w:lang w:val="en-US"/>
        </w:rPr>
        <w:instrText xml:space="preserve"> SEQ Obs \* Arabic </w:instrText>
      </w:r>
      <w:r w:rsidRPr="001D4861">
        <w:rPr>
          <w:b/>
          <w:iCs/>
          <w:color w:val="2B579A"/>
          <w:shd w:val="clear" w:color="auto" w:fill="E6E6E6"/>
          <w:lang w:val="en-US"/>
        </w:rPr>
        <w:fldChar w:fldCharType="separate"/>
      </w:r>
      <w:r w:rsidR="005346B1" w:rsidRPr="001D4861">
        <w:rPr>
          <w:b/>
          <w:iCs/>
          <w:noProof/>
          <w:lang w:val="en-US"/>
        </w:rPr>
        <w:t>1</w:t>
      </w:r>
      <w:r w:rsidRPr="001D4861">
        <w:rPr>
          <w:b/>
          <w:iCs/>
          <w:color w:val="2B579A"/>
          <w:shd w:val="clear" w:color="auto" w:fill="E6E6E6"/>
          <w:lang w:val="en-US"/>
        </w:rPr>
        <w:fldChar w:fldCharType="end"/>
      </w:r>
      <w:r w:rsidRPr="001D4861">
        <w:rPr>
          <w:b/>
          <w:bCs/>
          <w:iCs/>
          <w:lang w:val="en-US"/>
        </w:rPr>
        <w:t>:</w:t>
      </w:r>
      <w:r w:rsidRPr="001D4861">
        <w:rPr>
          <w:iCs/>
          <w:lang w:val="en-US"/>
        </w:rPr>
        <w:tab/>
      </w:r>
      <w:r w:rsidRPr="001D4861">
        <w:rPr>
          <w:b/>
          <w:iCs/>
          <w:lang w:val="en-US"/>
        </w:rPr>
        <w:t>Channel access mechanisms defined for NR-U in TS 37.213 can</w:t>
      </w:r>
      <w:r w:rsidR="00891439">
        <w:rPr>
          <w:b/>
          <w:iCs/>
          <w:lang w:val="en-US"/>
        </w:rPr>
        <w:t xml:space="preserve"> and should</w:t>
      </w:r>
      <w:r w:rsidRPr="001D4861">
        <w:rPr>
          <w:b/>
          <w:iCs/>
          <w:lang w:val="en-US"/>
        </w:rPr>
        <w:t xml:space="preserve"> be largely re-used with SL-U, such that the role of TX UE is </w:t>
      </w:r>
      <w:proofErr w:type="gramStart"/>
      <w:r w:rsidRPr="001D4861">
        <w:rPr>
          <w:b/>
          <w:iCs/>
          <w:lang w:val="en-US"/>
        </w:rPr>
        <w:t>similar to</w:t>
      </w:r>
      <w:proofErr w:type="gramEnd"/>
      <w:r w:rsidRPr="001D4861">
        <w:rPr>
          <w:b/>
          <w:iCs/>
          <w:lang w:val="en-US"/>
        </w:rPr>
        <w:t xml:space="preserve"> gNB, and the role of RX UE is similar to UE.</w:t>
      </w:r>
    </w:p>
    <w:p w14:paraId="38CDD0BE" w14:textId="6720AE29" w:rsidR="00AF5FF2" w:rsidRPr="00E5465C" w:rsidRDefault="00AF5FF2" w:rsidP="00AF5FF2">
      <w:pPr>
        <w:spacing w:before="240" w:after="120"/>
        <w:jc w:val="both"/>
        <w:rPr>
          <w:lang w:val="en-US"/>
        </w:rPr>
      </w:pPr>
      <w:r w:rsidRPr="00E5465C">
        <w:rPr>
          <w:lang w:val="en-US"/>
        </w:rPr>
        <w:t>When a device initiates the communication (</w:t>
      </w:r>
      <w:proofErr w:type="gramStart"/>
      <w:r w:rsidRPr="00E5465C">
        <w:rPr>
          <w:lang w:val="en-US"/>
        </w:rPr>
        <w:t>i.e.</w:t>
      </w:r>
      <w:proofErr w:type="gramEnd"/>
      <w:r w:rsidRPr="00E5465C">
        <w:rPr>
          <w:lang w:val="en-US"/>
        </w:rPr>
        <w:t xml:space="preserve"> the device takes the role of initiating device), then this device has to acquire the “right” to access the channel for a certain period of time – denoted in the regulations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 </w:t>
      </w:r>
      <w:r w:rsidRPr="00E5465C">
        <w:rPr>
          <w:lang w:val="en-US"/>
        </w:rPr>
        <w:fldChar w:fldCharType="begin"/>
      </w:r>
      <w:r w:rsidRPr="00E5465C">
        <w:rPr>
          <w:lang w:val="en-US"/>
        </w:rPr>
        <w:instrText xml:space="preserve"> REF _Ref111021655 \h </w:instrText>
      </w:r>
      <w:r>
        <w:rPr>
          <w:lang w:val="en-US"/>
        </w:rPr>
        <w:instrText xml:space="preserve"> \* MERGEFORMAT </w:instrText>
      </w:r>
      <w:r w:rsidRPr="00E5465C">
        <w:rPr>
          <w:lang w:val="en-US"/>
        </w:rPr>
      </w:r>
      <w:r w:rsidRPr="00E5465C">
        <w:rPr>
          <w:lang w:val="en-US"/>
        </w:rPr>
        <w:fldChar w:fldCharType="separate"/>
      </w:r>
      <w:r w:rsidR="005346B1" w:rsidRPr="005346B1">
        <w:rPr>
          <w:lang w:val="en-US"/>
        </w:rPr>
        <w:t xml:space="preserve">Figure </w:t>
      </w:r>
      <w:r w:rsidR="005346B1" w:rsidRPr="005346B1">
        <w:rPr>
          <w:noProof/>
          <w:lang w:val="en-US"/>
        </w:rPr>
        <w:t>1</w:t>
      </w:r>
      <w:r w:rsidRPr="00E5465C">
        <w:rPr>
          <w:lang w:val="en-US"/>
        </w:rPr>
        <w:fldChar w:fldCharType="end"/>
      </w:r>
      <w:r w:rsidRPr="00E5465C">
        <w:rPr>
          <w:lang w:val="en-US"/>
        </w:rPr>
        <w:t>.</w:t>
      </w:r>
    </w:p>
    <w:p w14:paraId="4ACDE8A2" w14:textId="77777777" w:rsidR="00AF5FF2" w:rsidRPr="00E5465C" w:rsidRDefault="00AF5FF2" w:rsidP="00AF5FF2">
      <w:pPr>
        <w:keepNext/>
        <w:ind w:left="360"/>
        <w:jc w:val="center"/>
        <w:rPr>
          <w:lang w:val="en-US"/>
        </w:rPr>
      </w:pPr>
      <w:r w:rsidRPr="00E5465C">
        <w:rPr>
          <w:noProof/>
        </w:rPr>
        <w:drawing>
          <wp:inline distT="0" distB="0" distL="0" distR="0" wp14:anchorId="01CE2690" wp14:editId="5CAA1EDA">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58626B76" w14:textId="5839ED50" w:rsidR="00AF5FF2" w:rsidRPr="00E5465C" w:rsidRDefault="00AF5FF2" w:rsidP="00AF5FF2">
      <w:pPr>
        <w:pStyle w:val="TF"/>
        <w:rPr>
          <w:rFonts w:ascii="Times New Roman" w:hAnsi="Times New Roman"/>
        </w:rPr>
      </w:pPr>
      <w:bookmarkStart w:id="6" w:name="_Ref111021655"/>
      <w:r w:rsidRPr="00E5465C">
        <w:rPr>
          <w:rFonts w:ascii="Times New Roman" w:hAnsi="Times New Roman"/>
        </w:rPr>
        <w:t xml:space="preserve">Figure </w:t>
      </w:r>
      <w:r w:rsidRPr="00E5465C">
        <w:rPr>
          <w:rFonts w:ascii="Times New Roman" w:hAnsi="Times New Roman"/>
        </w:rPr>
        <w:fldChar w:fldCharType="begin"/>
      </w:r>
      <w:r w:rsidRPr="00E5465C">
        <w:rPr>
          <w:rFonts w:ascii="Times New Roman" w:hAnsi="Times New Roman"/>
        </w:rPr>
        <w:instrText>SEQ Figure \* ARABIC</w:instrText>
      </w:r>
      <w:r w:rsidRPr="00E5465C">
        <w:rPr>
          <w:rFonts w:ascii="Times New Roman" w:hAnsi="Times New Roman"/>
        </w:rPr>
        <w:fldChar w:fldCharType="separate"/>
      </w:r>
      <w:r w:rsidR="005346B1">
        <w:rPr>
          <w:rFonts w:ascii="Times New Roman" w:hAnsi="Times New Roman"/>
          <w:noProof/>
        </w:rPr>
        <w:t>1</w:t>
      </w:r>
      <w:r w:rsidRPr="00E5465C">
        <w:rPr>
          <w:rFonts w:ascii="Times New Roman" w:hAnsi="Times New Roman"/>
        </w:rPr>
        <w:fldChar w:fldCharType="end"/>
      </w:r>
      <w:bookmarkEnd w:id="6"/>
      <w:r w:rsidRPr="00E5465C">
        <w:rPr>
          <w:rFonts w:ascii="Times New Roman" w:hAnsi="Times New Roman"/>
        </w:rPr>
        <w:t>: Acquisition of the COT by an initiating device via LBT Type 1.</w:t>
      </w:r>
    </w:p>
    <w:p w14:paraId="36238641" w14:textId="77777777" w:rsidR="005346B1" w:rsidRPr="005346B1" w:rsidRDefault="00AF5FF2" w:rsidP="00874A28">
      <w:pPr>
        <w:spacing w:after="120"/>
        <w:jc w:val="both"/>
        <w:rPr>
          <w:rFonts w:cs="Arial"/>
        </w:rPr>
      </w:pPr>
      <w:r w:rsidRPr="00E5465C">
        <w:rPr>
          <w:lang w:val="en-US"/>
        </w:rPr>
        <w:t>The duration of both the COT and CW depends on the Channel Access Priority Class (CAPC) associated with the device’s traffic and is provided in TS 37.213. The device initiating the transmission (the initiating device) upon successfully completing the LBT Type 1 and performing a transmission, acquires the COT with duration associated with the corresponding CAPC. The acquired COT is valid even in the case where the initiating device pauses its transmission, although if the initiating device wants to perform a new transmission (within the COT) it is still required to perform a “reduced” LBT procedure.</w:t>
      </w:r>
      <w:r w:rsidR="00874A28" w:rsidRPr="00420999">
        <w:rPr>
          <w:rFonts w:cs="Arial"/>
          <w:lang w:val="en-US"/>
        </w:rPr>
        <w:t xml:space="preserve"> In </w:t>
      </w:r>
      <w:r w:rsidR="00874A28" w:rsidRPr="00420999">
        <w:rPr>
          <w:rFonts w:cs="Arial"/>
          <w:lang w:val="en-US"/>
        </w:rPr>
        <w:fldChar w:fldCharType="begin"/>
      </w:r>
      <w:r w:rsidR="00874A28" w:rsidRPr="00420999">
        <w:rPr>
          <w:rFonts w:cs="Arial"/>
          <w:lang w:val="en-US"/>
        </w:rPr>
        <w:instrText xml:space="preserve"> REF _Ref71536574 \h  \* MERGEFORMAT </w:instrText>
      </w:r>
      <w:r w:rsidR="00874A28" w:rsidRPr="00420999">
        <w:rPr>
          <w:rFonts w:cs="Arial"/>
          <w:lang w:val="en-US"/>
        </w:rPr>
      </w:r>
      <w:r w:rsidR="00874A28" w:rsidRPr="00420999">
        <w:rPr>
          <w:rFonts w:cs="Arial"/>
          <w:lang w:val="en-US"/>
        </w:rPr>
        <w:fldChar w:fldCharType="separat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5346B1" w14:paraId="38FCE81E" w14:textId="77777777" w:rsidTr="00BE2F34">
        <w:trPr>
          <w:trHeight w:val="554"/>
          <w:jc w:val="center"/>
        </w:trPr>
        <w:tc>
          <w:tcPr>
            <w:tcW w:w="15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9F3CDF" w14:textId="63CFCE20" w:rsidR="005346B1" w:rsidRDefault="005346B1" w:rsidP="005346B1">
            <w:pPr>
              <w:rPr>
                <w:lang w:eastAsia="en-GB"/>
              </w:rPr>
            </w:pPr>
            <w:r>
              <w:rPr>
                <w:lang w:eastAsia="en-GB"/>
              </w:rPr>
              <w:t>Channel Access Priority Class (</w:t>
            </w:r>
            <m:oMath>
              <m:r>
                <m:rPr>
                  <m:sty m:val="p"/>
                </m:rPr>
                <w:rPr>
                  <w:rFonts w:ascii="Cambria Math"/>
                  <w:lang w:eastAsia="en-GB"/>
                </w:rPr>
                <m:t>p</m:t>
              </m:r>
            </m:oMath>
            <w:r>
              <w:rPr>
                <w:lang w:eastAsia="en-GB"/>
              </w:rPr>
              <w:t>)</w:t>
            </w:r>
          </w:p>
        </w:tc>
        <w:tc>
          <w:tcPr>
            <w:tcW w:w="9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EF054F" w14:textId="77777777" w:rsidR="005346B1" w:rsidRDefault="00884830">
            <w:pPr>
              <w:pStyle w:val="TAH"/>
              <w:rPr>
                <w:lang w:eastAsia="en-GB"/>
              </w:rPr>
            </w:pPr>
            <m:oMathPara>
              <m:oMath>
                <m:sSub>
                  <m:sSubPr>
                    <m:ctrlPr>
                      <w:rPr>
                        <w:rFonts w:ascii="Cambria Math" w:hAnsi="Cambria Math"/>
                        <w:i/>
                        <w:lang w:eastAsia="en-GB"/>
                      </w:rPr>
                    </m:ctrlPr>
                  </m:sSubPr>
                  <m:e>
                    <m:r>
                      <m:rPr>
                        <m:sty m:val="b"/>
                      </m:rPr>
                      <w:rPr>
                        <w:rFonts w:ascii="Cambria Math"/>
                        <w:lang w:eastAsia="en-GB"/>
                      </w:rPr>
                      <m:t>m</m:t>
                    </m:r>
                  </m:e>
                  <m:sub>
                    <m:r>
                      <m:rPr>
                        <m:sty m:val="b"/>
                      </m:rPr>
                      <w:rPr>
                        <w:rFonts w:ascii="Cambria Math"/>
                        <w:lang w:eastAsia="en-GB"/>
                      </w:rPr>
                      <m:t>p</m:t>
                    </m:r>
                  </m:sub>
                </m:sSub>
              </m:oMath>
            </m:oMathPara>
          </w:p>
        </w:tc>
        <w:tc>
          <w:tcPr>
            <w:tcW w:w="10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BABA0C8" w14:textId="77777777" w:rsidR="005346B1" w:rsidRDefault="005346B1">
            <w:pPr>
              <w:pStyle w:val="TAH"/>
              <w:rPr>
                <w:lang w:eastAsia="en-GB"/>
              </w:rPr>
            </w:pPr>
            <m:oMathPara>
              <m:oMath>
                <m:r>
                  <m:rPr>
                    <m:sty m:val="b"/>
                  </m:rPr>
                  <w:rPr>
                    <w:rFonts w:ascii="Cambria Math"/>
                    <w:lang w:eastAsia="en-GB"/>
                  </w:rPr>
                  <m:t>C</m:t>
                </m:r>
                <m:sSub>
                  <m:sSubPr>
                    <m:ctrlPr>
                      <w:rPr>
                        <w:rFonts w:ascii="Cambria Math" w:hAnsi="Cambria Math"/>
                        <w:i/>
                        <w:lang w:eastAsia="en-GB"/>
                      </w:rPr>
                    </m:ctrlPr>
                  </m:sSubPr>
                  <m:e>
                    <m:r>
                      <m:rPr>
                        <m:sty m:val="b"/>
                      </m:rPr>
                      <w:rPr>
                        <w:rFonts w:ascii="Cambria Math"/>
                        <w:lang w:eastAsia="en-GB"/>
                      </w:rPr>
                      <m:t>W</m:t>
                    </m:r>
                  </m:e>
                  <m:sub>
                    <m:func>
                      <m:funcPr>
                        <m:ctrlPr>
                          <w:rPr>
                            <w:rFonts w:ascii="Cambria Math" w:hAnsi="Cambria Math"/>
                            <w:i/>
                            <w:lang w:eastAsia="en-GB"/>
                          </w:rPr>
                        </m:ctrlPr>
                      </m:funcPr>
                      <m:fName>
                        <m:r>
                          <m:rPr>
                            <m:sty m:val="b"/>
                          </m:rPr>
                          <w:rPr>
                            <w:rFonts w:ascii="Cambria Math"/>
                            <w:lang w:eastAsia="en-GB"/>
                          </w:rPr>
                          <m:t>min,</m:t>
                        </m:r>
                      </m:fName>
                      <m:e>
                        <m:r>
                          <m:rPr>
                            <m:sty m:val="b"/>
                          </m:rPr>
                          <w:rPr>
                            <w:rFonts w:ascii="Cambria Math"/>
                            <w:lang w:eastAsia="en-GB"/>
                          </w:rPr>
                          <m:t>p</m:t>
                        </m:r>
                      </m:e>
                    </m:func>
                  </m:sub>
                </m:sSub>
              </m:oMath>
            </m:oMathPara>
          </w:p>
        </w:tc>
        <w:tc>
          <w:tcPr>
            <w:tcW w:w="10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4406E1" w14:textId="77777777" w:rsidR="005346B1" w:rsidRDefault="005346B1">
            <w:pPr>
              <w:pStyle w:val="TAH"/>
              <w:rPr>
                <w:lang w:eastAsia="en-GB"/>
              </w:rPr>
            </w:pPr>
            <m:oMathPara>
              <m:oMath>
                <m:r>
                  <m:rPr>
                    <m:sty m:val="b"/>
                  </m:rPr>
                  <w:rPr>
                    <w:rFonts w:ascii="Cambria Math"/>
                    <w:lang w:eastAsia="en-GB"/>
                  </w:rPr>
                  <m:t>C</m:t>
                </m:r>
                <m:sSub>
                  <m:sSubPr>
                    <m:ctrlPr>
                      <w:rPr>
                        <w:rFonts w:ascii="Cambria Math" w:hAnsi="Cambria Math"/>
                        <w:i/>
                        <w:lang w:eastAsia="en-GB"/>
                      </w:rPr>
                    </m:ctrlPr>
                  </m:sSubPr>
                  <m:e>
                    <m:r>
                      <m:rPr>
                        <m:sty m:val="b"/>
                      </m:rPr>
                      <w:rPr>
                        <w:rFonts w:ascii="Cambria Math"/>
                        <w:lang w:eastAsia="en-GB"/>
                      </w:rPr>
                      <m:t>W</m:t>
                    </m:r>
                  </m:e>
                  <m:sub>
                    <m:func>
                      <m:funcPr>
                        <m:ctrlPr>
                          <w:rPr>
                            <w:rFonts w:ascii="Cambria Math" w:hAnsi="Cambria Math"/>
                            <w:i/>
                            <w:lang w:eastAsia="en-GB"/>
                          </w:rPr>
                        </m:ctrlPr>
                      </m:funcPr>
                      <m:fName>
                        <m:r>
                          <m:rPr>
                            <m:sty m:val="b"/>
                          </m:rPr>
                          <w:rPr>
                            <w:rFonts w:ascii="Cambria Math"/>
                            <w:lang w:eastAsia="en-GB"/>
                          </w:rPr>
                          <m:t>max,</m:t>
                        </m:r>
                      </m:fName>
                      <m:e>
                        <m:r>
                          <m:rPr>
                            <m:sty m:val="b"/>
                          </m:rPr>
                          <w:rPr>
                            <w:rFonts w:ascii="Cambria Math"/>
                            <w:lang w:eastAsia="en-GB"/>
                          </w:rPr>
                          <m:t>p</m:t>
                        </m:r>
                      </m:e>
                    </m:func>
                  </m:sub>
                </m:sSub>
              </m:oMath>
            </m:oMathPara>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C8A0B6" w14:textId="77777777" w:rsidR="005346B1" w:rsidRDefault="00884830">
            <w:pPr>
              <w:pStyle w:val="TAH"/>
              <w:rPr>
                <w:lang w:eastAsia="en-GB"/>
              </w:rPr>
            </w:pPr>
            <m:oMathPara>
              <m:oMath>
                <m:sSub>
                  <m:sSubPr>
                    <m:ctrlPr>
                      <w:rPr>
                        <w:rFonts w:ascii="Cambria Math" w:hAnsi="Cambria Math"/>
                        <w:i/>
                        <w:lang w:eastAsia="en-GB"/>
                      </w:rPr>
                    </m:ctrlPr>
                  </m:sSubPr>
                  <m:e>
                    <m:r>
                      <m:rPr>
                        <m:sty m:val="b"/>
                      </m:rPr>
                      <w:rPr>
                        <w:rFonts w:ascii="Cambria Math"/>
                        <w:lang w:eastAsia="en-GB"/>
                      </w:rPr>
                      <m:t>T</m:t>
                    </m:r>
                  </m:e>
                  <m:sub>
                    <m:r>
                      <m:rPr>
                        <m:sty m:val="b"/>
                      </m:rPr>
                      <w:rPr>
                        <w:rFonts w:ascii="Cambria Math"/>
                        <w:lang w:eastAsia="en-GB"/>
                      </w:rPr>
                      <m:t>m</m:t>
                    </m:r>
                    <m:func>
                      <m:funcPr>
                        <m:ctrlPr>
                          <w:rPr>
                            <w:rFonts w:ascii="Cambria Math" w:hAnsi="Cambria Math"/>
                            <w:i/>
                            <w:lang w:eastAsia="en-GB"/>
                          </w:rPr>
                        </m:ctrlPr>
                      </m:funcPr>
                      <m:fName>
                        <m:r>
                          <m:rPr>
                            <m:sty m:val="b"/>
                          </m:rPr>
                          <w:rPr>
                            <w:rFonts w:ascii="Cambria Math"/>
                            <w:lang w:eastAsia="en-GB"/>
                          </w:rPr>
                          <m:t>cot,</m:t>
                        </m:r>
                      </m:fName>
                      <m:e>
                        <m:r>
                          <m:rPr>
                            <m:sty m:val="b"/>
                          </m:rPr>
                          <w:rPr>
                            <w:rFonts w:ascii="Cambria Math"/>
                            <w:lang w:eastAsia="en-GB"/>
                          </w:rPr>
                          <m:t>p</m:t>
                        </m:r>
                      </m:e>
                    </m:func>
                  </m:sub>
                </m:sSub>
              </m:oMath>
            </m:oMathPara>
          </w:p>
        </w:tc>
        <w:tc>
          <w:tcPr>
            <w:tcW w:w="269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CA17B9" w14:textId="77777777" w:rsidR="005346B1" w:rsidRDefault="005346B1">
            <w:pPr>
              <w:pStyle w:val="TAH"/>
              <w:rPr>
                <w:lang w:eastAsia="en-GB"/>
              </w:rPr>
            </w:pPr>
            <w:r>
              <w:rPr>
                <w:lang w:eastAsia="en-GB"/>
              </w:rPr>
              <w:t xml:space="preserve">allowed </w:t>
            </w:r>
            <m:oMath>
              <m:r>
                <m:rPr>
                  <m:sty m:val="b"/>
                </m:rPr>
                <w:rPr>
                  <w:rFonts w:ascii="Cambria Math"/>
                  <w:lang w:eastAsia="en-GB"/>
                </w:rPr>
                <m:t>C</m:t>
              </m:r>
              <m:sSub>
                <m:sSubPr>
                  <m:ctrlPr>
                    <w:rPr>
                      <w:rFonts w:ascii="Cambria Math" w:hAnsi="Cambria Math"/>
                      <w:i/>
                      <w:lang w:eastAsia="en-GB"/>
                    </w:rPr>
                  </m:ctrlPr>
                </m:sSubPr>
                <m:e>
                  <m:r>
                    <m:rPr>
                      <m:sty m:val="b"/>
                    </m:rPr>
                    <w:rPr>
                      <w:rFonts w:ascii="Cambria Math"/>
                      <w:lang w:eastAsia="en-GB"/>
                    </w:rPr>
                    <m:t>W</m:t>
                  </m:r>
                </m:e>
                <m:sub>
                  <m:r>
                    <m:rPr>
                      <m:sty m:val="b"/>
                    </m:rPr>
                    <w:rPr>
                      <w:rFonts w:ascii="Cambria Math"/>
                      <w:lang w:eastAsia="en-GB"/>
                    </w:rPr>
                    <m:t>p</m:t>
                  </m:r>
                </m:sub>
              </m:sSub>
            </m:oMath>
            <w:r>
              <w:rPr>
                <w:lang w:eastAsia="en-GB"/>
              </w:rPr>
              <w:t>sizes</w:t>
            </w:r>
          </w:p>
        </w:tc>
      </w:tr>
      <w:tr w:rsidR="005346B1" w14:paraId="74C82DA9" w14:textId="77777777" w:rsidTr="00BE2F34">
        <w:trPr>
          <w:trHeight w:val="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5961A23C" w14:textId="77777777" w:rsidR="005346B1" w:rsidRDefault="005346B1">
            <w:pPr>
              <w:pStyle w:val="TAC"/>
              <w:rPr>
                <w:lang w:eastAsia="en-GB"/>
              </w:rPr>
            </w:pPr>
            <w:r>
              <w:rPr>
                <w:lang w:eastAsia="en-GB"/>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99C1C0" w14:textId="77777777" w:rsidR="005346B1" w:rsidRDefault="005346B1">
            <w:pPr>
              <w:pStyle w:val="TAC"/>
              <w:rPr>
                <w:lang w:eastAsia="en-GB"/>
              </w:rPr>
            </w:pPr>
            <w:r>
              <w:rPr>
                <w:lang w:eastAsia="en-GB"/>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AA9015" w14:textId="77777777" w:rsidR="005346B1" w:rsidRDefault="005346B1">
            <w:pPr>
              <w:pStyle w:val="TAC"/>
              <w:rPr>
                <w:lang w:eastAsia="en-GB"/>
              </w:rPr>
            </w:pPr>
            <w:r>
              <w:rPr>
                <w:lang w:eastAsia="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4664B58" w14:textId="77777777" w:rsidR="005346B1" w:rsidRDefault="005346B1">
            <w:pPr>
              <w:pStyle w:val="TAC"/>
              <w:rPr>
                <w:lang w:eastAsia="en-GB"/>
              </w:rPr>
            </w:pPr>
            <w:r>
              <w:rPr>
                <w:lang w:eastAsia="en-GB"/>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56762" w14:textId="77777777" w:rsidR="005346B1" w:rsidRDefault="005346B1">
            <w:pPr>
              <w:pStyle w:val="TAC"/>
              <w:rPr>
                <w:lang w:eastAsia="en-GB"/>
              </w:rPr>
            </w:pPr>
            <w:r>
              <w:rPr>
                <w:lang w:eastAsia="en-GB"/>
              </w:rPr>
              <w:t xml:space="preserve">2 </w:t>
            </w:r>
            <w:proofErr w:type="spellStart"/>
            <w:r>
              <w:rPr>
                <w:lang w:eastAsia="en-GB"/>
              </w:rPr>
              <w:t>ms</w:t>
            </w:r>
            <w:proofErr w:type="spellEnd"/>
          </w:p>
        </w:tc>
        <w:tc>
          <w:tcPr>
            <w:tcW w:w="2692" w:type="dxa"/>
            <w:tcBorders>
              <w:top w:val="single" w:sz="4" w:space="0" w:color="auto"/>
              <w:left w:val="single" w:sz="4" w:space="0" w:color="auto"/>
              <w:bottom w:val="single" w:sz="4" w:space="0" w:color="auto"/>
              <w:right w:val="single" w:sz="4" w:space="0" w:color="auto"/>
            </w:tcBorders>
            <w:vAlign w:val="center"/>
            <w:hideMark/>
          </w:tcPr>
          <w:p w14:paraId="343BCA2F" w14:textId="77777777" w:rsidR="005346B1" w:rsidRDefault="005346B1">
            <w:pPr>
              <w:pStyle w:val="TAC"/>
              <w:rPr>
                <w:lang w:eastAsia="en-GB"/>
              </w:rPr>
            </w:pPr>
            <w:r>
              <w:rPr>
                <w:lang w:eastAsia="en-GB"/>
              </w:rPr>
              <w:t>{3,7}</w:t>
            </w:r>
          </w:p>
        </w:tc>
      </w:tr>
      <w:tr w:rsidR="005346B1" w14:paraId="2403EB6D" w14:textId="77777777" w:rsidTr="00BE2F34">
        <w:trPr>
          <w:trHeight w:val="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3E8C9C43" w14:textId="77777777" w:rsidR="005346B1" w:rsidRDefault="005346B1">
            <w:pPr>
              <w:pStyle w:val="TAC"/>
              <w:rPr>
                <w:lang w:eastAsia="en-GB"/>
              </w:rPr>
            </w:pPr>
            <w:r>
              <w:rPr>
                <w:lang w:eastAsia="en-GB"/>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539786" w14:textId="77777777" w:rsidR="005346B1" w:rsidRDefault="005346B1">
            <w:pPr>
              <w:pStyle w:val="TAC"/>
              <w:rPr>
                <w:lang w:eastAsia="en-GB"/>
              </w:rPr>
            </w:pPr>
            <w:r>
              <w:rPr>
                <w:lang w:eastAsia="en-GB"/>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E8B9B6" w14:textId="77777777" w:rsidR="005346B1" w:rsidRDefault="005346B1">
            <w:pPr>
              <w:pStyle w:val="TAC"/>
              <w:rPr>
                <w:lang w:eastAsia="en-GB"/>
              </w:rPr>
            </w:pPr>
            <w:r>
              <w:rPr>
                <w:lang w:eastAsia="en-GB"/>
              </w:rPr>
              <w:t>7</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294048" w14:textId="77777777" w:rsidR="005346B1" w:rsidRDefault="005346B1">
            <w:pPr>
              <w:pStyle w:val="TAC"/>
              <w:rPr>
                <w:lang w:eastAsia="en-GB"/>
              </w:rPr>
            </w:pPr>
            <w:r>
              <w:rPr>
                <w:lang w:eastAsia="en-GB"/>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93B05E" w14:textId="77777777" w:rsidR="005346B1" w:rsidRDefault="005346B1">
            <w:pPr>
              <w:pStyle w:val="TAC"/>
              <w:rPr>
                <w:lang w:eastAsia="en-GB"/>
              </w:rPr>
            </w:pPr>
            <w:r>
              <w:rPr>
                <w:lang w:eastAsia="en-GB"/>
              </w:rPr>
              <w:t xml:space="preserve">3 </w:t>
            </w:r>
            <w:proofErr w:type="spellStart"/>
            <w:r>
              <w:rPr>
                <w:lang w:eastAsia="en-GB"/>
              </w:rPr>
              <w:t>ms</w:t>
            </w:r>
            <w:proofErr w:type="spellEnd"/>
          </w:p>
        </w:tc>
        <w:tc>
          <w:tcPr>
            <w:tcW w:w="2692" w:type="dxa"/>
            <w:tcBorders>
              <w:top w:val="single" w:sz="4" w:space="0" w:color="auto"/>
              <w:left w:val="single" w:sz="4" w:space="0" w:color="auto"/>
              <w:bottom w:val="single" w:sz="4" w:space="0" w:color="auto"/>
              <w:right w:val="single" w:sz="4" w:space="0" w:color="auto"/>
            </w:tcBorders>
            <w:vAlign w:val="center"/>
            <w:hideMark/>
          </w:tcPr>
          <w:p w14:paraId="1CE1F86B" w14:textId="77777777" w:rsidR="005346B1" w:rsidRDefault="005346B1">
            <w:pPr>
              <w:pStyle w:val="TAC"/>
              <w:rPr>
                <w:lang w:eastAsia="en-GB"/>
              </w:rPr>
            </w:pPr>
            <w:r>
              <w:rPr>
                <w:lang w:eastAsia="en-GB"/>
              </w:rPr>
              <w:t>{7,15}</w:t>
            </w:r>
          </w:p>
        </w:tc>
      </w:tr>
      <w:tr w:rsidR="005346B1" w14:paraId="39241C06" w14:textId="77777777" w:rsidTr="00BE2F34">
        <w:trPr>
          <w:trHeight w:val="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456B842C" w14:textId="77777777" w:rsidR="005346B1" w:rsidRDefault="005346B1">
            <w:pPr>
              <w:pStyle w:val="TAC"/>
              <w:rPr>
                <w:lang w:eastAsia="en-GB"/>
              </w:rPr>
            </w:pPr>
            <w:r>
              <w:rPr>
                <w:lang w:eastAsia="en-GB"/>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BA6214" w14:textId="77777777" w:rsidR="005346B1" w:rsidRDefault="005346B1">
            <w:pPr>
              <w:pStyle w:val="TAC"/>
              <w:rPr>
                <w:lang w:eastAsia="en-GB"/>
              </w:rPr>
            </w:pPr>
            <w:r>
              <w:rPr>
                <w:lang w:eastAsia="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5167CB" w14:textId="77777777" w:rsidR="005346B1" w:rsidRDefault="005346B1">
            <w:pPr>
              <w:pStyle w:val="TAC"/>
              <w:rPr>
                <w:lang w:eastAsia="en-GB"/>
              </w:rPr>
            </w:pPr>
            <w:r>
              <w:rPr>
                <w:lang w:eastAsia="en-GB"/>
              </w:rPr>
              <w:t>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079803" w14:textId="77777777" w:rsidR="005346B1" w:rsidRDefault="005346B1">
            <w:pPr>
              <w:pStyle w:val="TAC"/>
              <w:rPr>
                <w:lang w:eastAsia="en-GB"/>
              </w:rPr>
            </w:pPr>
            <w:r>
              <w:rPr>
                <w:lang w:eastAsia="en-GB"/>
              </w:rPr>
              <w:t>63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5F6696" w14:textId="77777777" w:rsidR="005346B1" w:rsidRDefault="005346B1">
            <w:pPr>
              <w:pStyle w:val="TAC"/>
              <w:rPr>
                <w:lang w:eastAsia="en-GB"/>
              </w:rPr>
            </w:pPr>
            <w:r>
              <w:rPr>
                <w:lang w:eastAsia="en-GB"/>
              </w:rPr>
              <w:t xml:space="preserve">8 or 10 </w:t>
            </w:r>
            <w:proofErr w:type="spellStart"/>
            <w:r>
              <w:rPr>
                <w:lang w:eastAsia="en-GB"/>
              </w:rPr>
              <w:t>ms</w:t>
            </w:r>
            <w:proofErr w:type="spellEnd"/>
          </w:p>
        </w:tc>
        <w:tc>
          <w:tcPr>
            <w:tcW w:w="2692" w:type="dxa"/>
            <w:tcBorders>
              <w:top w:val="single" w:sz="4" w:space="0" w:color="auto"/>
              <w:left w:val="single" w:sz="4" w:space="0" w:color="auto"/>
              <w:bottom w:val="single" w:sz="4" w:space="0" w:color="auto"/>
              <w:right w:val="single" w:sz="4" w:space="0" w:color="auto"/>
            </w:tcBorders>
            <w:vAlign w:val="center"/>
            <w:hideMark/>
          </w:tcPr>
          <w:p w14:paraId="1FEF4483" w14:textId="77777777" w:rsidR="005346B1" w:rsidRDefault="005346B1">
            <w:pPr>
              <w:pStyle w:val="TAC"/>
              <w:rPr>
                <w:lang w:eastAsia="en-GB"/>
              </w:rPr>
            </w:pPr>
            <w:r>
              <w:rPr>
                <w:lang w:eastAsia="en-GB"/>
              </w:rPr>
              <w:t>{15,31,63}</w:t>
            </w:r>
          </w:p>
        </w:tc>
      </w:tr>
      <w:tr w:rsidR="005346B1" w14:paraId="18AF1059" w14:textId="77777777" w:rsidTr="00BE2F34">
        <w:trPr>
          <w:trHeight w:val="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3953E221" w14:textId="77777777" w:rsidR="005346B1" w:rsidRDefault="005346B1">
            <w:pPr>
              <w:pStyle w:val="TAC"/>
              <w:rPr>
                <w:lang w:eastAsia="en-GB"/>
              </w:rPr>
            </w:pPr>
            <w:r>
              <w:rPr>
                <w:lang w:eastAsia="en-GB"/>
              </w:rPr>
              <w:t>4</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16DE8F" w14:textId="77777777" w:rsidR="005346B1" w:rsidRDefault="005346B1">
            <w:pPr>
              <w:pStyle w:val="TAC"/>
              <w:rPr>
                <w:lang w:eastAsia="en-GB"/>
              </w:rPr>
            </w:pPr>
            <w:r>
              <w:rPr>
                <w:lang w:eastAsia="en-GB"/>
              </w:rPr>
              <w:t>7</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264F43C" w14:textId="77777777" w:rsidR="005346B1" w:rsidRDefault="005346B1">
            <w:pPr>
              <w:pStyle w:val="TAC"/>
              <w:rPr>
                <w:lang w:eastAsia="en-GB"/>
              </w:rPr>
            </w:pPr>
            <w:r>
              <w:rPr>
                <w:lang w:eastAsia="en-GB"/>
              </w:rPr>
              <w:t>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FA64EF" w14:textId="77777777" w:rsidR="005346B1" w:rsidRDefault="005346B1">
            <w:pPr>
              <w:pStyle w:val="TAC"/>
              <w:rPr>
                <w:lang w:eastAsia="en-GB"/>
              </w:rPr>
            </w:pPr>
            <w:r>
              <w:rPr>
                <w:lang w:eastAsia="en-GB"/>
              </w:rPr>
              <w:t>1023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FEF513" w14:textId="77777777" w:rsidR="005346B1" w:rsidRDefault="005346B1">
            <w:pPr>
              <w:pStyle w:val="TAC"/>
              <w:rPr>
                <w:lang w:eastAsia="en-GB"/>
              </w:rPr>
            </w:pPr>
            <w:r>
              <w:rPr>
                <w:lang w:eastAsia="en-GB"/>
              </w:rPr>
              <w:t xml:space="preserve">8 or 10 </w:t>
            </w:r>
            <w:proofErr w:type="spellStart"/>
            <w:r>
              <w:rPr>
                <w:lang w:eastAsia="en-GB"/>
              </w:rPr>
              <w:t>ms</w:t>
            </w:r>
            <w:proofErr w:type="spellEnd"/>
          </w:p>
        </w:tc>
        <w:tc>
          <w:tcPr>
            <w:tcW w:w="2692" w:type="dxa"/>
            <w:tcBorders>
              <w:top w:val="single" w:sz="4" w:space="0" w:color="auto"/>
              <w:left w:val="single" w:sz="4" w:space="0" w:color="auto"/>
              <w:bottom w:val="single" w:sz="4" w:space="0" w:color="auto"/>
              <w:right w:val="single" w:sz="4" w:space="0" w:color="auto"/>
            </w:tcBorders>
            <w:vAlign w:val="center"/>
            <w:hideMark/>
          </w:tcPr>
          <w:p w14:paraId="6D0CA1FB" w14:textId="77777777" w:rsidR="005346B1" w:rsidRDefault="005346B1">
            <w:pPr>
              <w:pStyle w:val="TAC"/>
              <w:rPr>
                <w:lang w:eastAsia="en-GB"/>
              </w:rPr>
            </w:pPr>
            <w:r>
              <w:rPr>
                <w:lang w:eastAsia="en-GB"/>
              </w:rPr>
              <w:t>{15,31,63,127,255,511,1023}</w:t>
            </w:r>
          </w:p>
        </w:tc>
      </w:tr>
    </w:tbl>
    <w:p w14:paraId="1EE14FC7" w14:textId="0BE24348" w:rsidR="00874A28" w:rsidRPr="00420999" w:rsidRDefault="005346B1" w:rsidP="00874A28">
      <w:pPr>
        <w:spacing w:after="120"/>
        <w:jc w:val="both"/>
        <w:rPr>
          <w:rFonts w:cs="Arial"/>
          <w:lang w:val="en-US"/>
        </w:rPr>
      </w:pPr>
      <w:r w:rsidRPr="001A0925">
        <w:t xml:space="preserve">Table </w:t>
      </w:r>
      <w:r>
        <w:rPr>
          <w:noProof/>
        </w:rPr>
        <w:t>1</w:t>
      </w:r>
      <w:r w:rsidR="00874A28" w:rsidRPr="00420999">
        <w:rPr>
          <w:rFonts w:cs="Arial"/>
          <w:lang w:val="en-US"/>
        </w:rPr>
        <w:fldChar w:fldCharType="end"/>
      </w:r>
      <w:r w:rsidR="00874A28" w:rsidRPr="00420999">
        <w:rPr>
          <w:rFonts w:cs="Arial"/>
          <w:lang w:val="en-US"/>
        </w:rPr>
        <w:t xml:space="preserve">, we depict the LBT Type 1 details for the </w:t>
      </w:r>
      <w:proofErr w:type="spellStart"/>
      <w:r w:rsidR="00874A28" w:rsidRPr="00420999">
        <w:rPr>
          <w:rFonts w:cs="Arial"/>
          <w:lang w:val="en-US"/>
        </w:rPr>
        <w:t>Uu</w:t>
      </w:r>
      <w:proofErr w:type="spellEnd"/>
      <w:r w:rsidR="00874A28" w:rsidRPr="00420999">
        <w:rPr>
          <w:rFonts w:cs="Arial"/>
          <w:lang w:val="en-US"/>
        </w:rPr>
        <w:t xml:space="preserve"> (</w:t>
      </w:r>
      <w:r w:rsidR="00362932">
        <w:rPr>
          <w:rFonts w:cs="Arial"/>
          <w:lang w:val="en-US"/>
        </w:rPr>
        <w:t>D</w:t>
      </w:r>
      <w:r w:rsidR="00874A28" w:rsidRPr="00420999">
        <w:rPr>
          <w:rFonts w:cs="Arial"/>
          <w:lang w:val="en-US"/>
        </w:rPr>
        <w:t>L)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BE2F34" w14:paraId="197FDBB6" w14:textId="77777777" w:rsidTr="00BE2F34">
        <w:trPr>
          <w:trHeight w:val="554"/>
          <w:jc w:val="center"/>
        </w:trPr>
        <w:tc>
          <w:tcPr>
            <w:tcW w:w="15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42483E" w14:textId="77777777" w:rsidR="00BE2F34" w:rsidRDefault="00BE2F34">
            <w:pPr>
              <w:pStyle w:val="TAH"/>
              <w:rPr>
                <w:lang w:eastAsia="en-GB"/>
              </w:rPr>
            </w:pPr>
            <w:bookmarkStart w:id="7" w:name="_Ref71536574"/>
            <w:r>
              <w:rPr>
                <w:lang w:eastAsia="en-GB"/>
              </w:rPr>
              <w:t>Channel Access Priority Class (</w:t>
            </w:r>
            <m:oMath>
              <m:r>
                <m:rPr>
                  <m:sty m:val="bi"/>
                </m:rPr>
                <w:rPr>
                  <w:rFonts w:ascii="Cambria Math"/>
                  <w:lang w:eastAsia="en-GB"/>
                </w:rPr>
                <m:t>p</m:t>
              </m:r>
            </m:oMath>
            <w:r>
              <w:rPr>
                <w:lang w:eastAsia="en-GB"/>
              </w:rPr>
              <w:t>)</w:t>
            </w:r>
          </w:p>
        </w:tc>
        <w:tc>
          <w:tcPr>
            <w:tcW w:w="9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DA56B4" w14:textId="77777777" w:rsidR="00BE2F34" w:rsidRDefault="00884830">
            <w:pPr>
              <w:pStyle w:val="TAH"/>
              <w:rPr>
                <w:lang w:eastAsia="en-GB"/>
              </w:rPr>
            </w:pPr>
            <m:oMathPara>
              <m:oMath>
                <m:sSub>
                  <m:sSubPr>
                    <m:ctrlPr>
                      <w:rPr>
                        <w:rFonts w:ascii="Cambria Math" w:hAnsi="Cambria Math"/>
                        <w:i/>
                        <w:lang w:eastAsia="en-GB"/>
                      </w:rPr>
                    </m:ctrlPr>
                  </m:sSubPr>
                  <m:e>
                    <m:r>
                      <m:rPr>
                        <m:sty m:val="bi"/>
                      </m:rPr>
                      <w:rPr>
                        <w:rFonts w:ascii="Cambria Math"/>
                        <w:lang w:eastAsia="en-GB"/>
                      </w:rPr>
                      <m:t>m</m:t>
                    </m:r>
                  </m:e>
                  <m:sub>
                    <m:r>
                      <m:rPr>
                        <m:sty m:val="bi"/>
                      </m:rPr>
                      <w:rPr>
                        <w:rFonts w:ascii="Cambria Math"/>
                        <w:lang w:eastAsia="en-GB"/>
                      </w:rPr>
                      <m:t>p</m:t>
                    </m:r>
                  </m:sub>
                </m:sSub>
              </m:oMath>
            </m:oMathPara>
          </w:p>
        </w:tc>
        <w:tc>
          <w:tcPr>
            <w:tcW w:w="10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3D0BAF" w14:textId="77777777" w:rsidR="00BE2F34" w:rsidRDefault="00BE2F34">
            <w:pPr>
              <w:pStyle w:val="TAH"/>
              <w:rPr>
                <w:lang w:eastAsia="en-GB"/>
              </w:rPr>
            </w:pPr>
            <m:oMathPara>
              <m:oMath>
                <m:r>
                  <m:rPr>
                    <m:sty m:val="bi"/>
                  </m:rPr>
                  <w:rPr>
                    <w:rFonts w:ascii="Cambria Math"/>
                    <w:lang w:eastAsia="en-GB"/>
                  </w:rPr>
                  <m:t>C</m:t>
                </m:r>
                <m:sSub>
                  <m:sSubPr>
                    <m:ctrlPr>
                      <w:rPr>
                        <w:rFonts w:ascii="Cambria Math" w:hAnsi="Cambria Math"/>
                        <w:i/>
                        <w:lang w:eastAsia="en-GB"/>
                      </w:rPr>
                    </m:ctrlPr>
                  </m:sSubPr>
                  <m:e>
                    <m:r>
                      <m:rPr>
                        <m:sty m:val="bi"/>
                      </m:rPr>
                      <w:rPr>
                        <w:rFonts w:ascii="Cambria Math"/>
                        <w:lang w:eastAsia="en-GB"/>
                      </w:rPr>
                      <m:t>W</m:t>
                    </m:r>
                  </m:e>
                  <m:sub>
                    <m:func>
                      <m:funcPr>
                        <m:ctrlPr>
                          <w:rPr>
                            <w:rFonts w:ascii="Cambria Math" w:hAnsi="Cambria Math"/>
                            <w:i/>
                            <w:lang w:eastAsia="en-GB"/>
                          </w:rPr>
                        </m:ctrlPr>
                      </m:funcPr>
                      <m:fName>
                        <m:r>
                          <m:rPr>
                            <m:sty m:val="bi"/>
                          </m:rPr>
                          <w:rPr>
                            <w:rFonts w:ascii="Cambria Math"/>
                            <w:lang w:eastAsia="en-GB"/>
                          </w:rPr>
                          <m:t>min,</m:t>
                        </m:r>
                      </m:fName>
                      <m:e>
                        <m:r>
                          <m:rPr>
                            <m:sty m:val="bi"/>
                          </m:rPr>
                          <w:rPr>
                            <w:rFonts w:ascii="Cambria Math"/>
                            <w:lang w:eastAsia="en-GB"/>
                          </w:rPr>
                          <m:t>p</m:t>
                        </m:r>
                      </m:e>
                    </m:func>
                  </m:sub>
                </m:sSub>
              </m:oMath>
            </m:oMathPara>
          </w:p>
        </w:tc>
        <w:tc>
          <w:tcPr>
            <w:tcW w:w="10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F61FAD" w14:textId="77777777" w:rsidR="00BE2F34" w:rsidRDefault="00BE2F34">
            <w:pPr>
              <w:pStyle w:val="TAH"/>
              <w:rPr>
                <w:lang w:eastAsia="en-GB"/>
              </w:rPr>
            </w:pPr>
            <m:oMathPara>
              <m:oMath>
                <m:r>
                  <m:rPr>
                    <m:sty m:val="bi"/>
                  </m:rPr>
                  <w:rPr>
                    <w:rFonts w:ascii="Cambria Math"/>
                    <w:lang w:eastAsia="en-GB"/>
                  </w:rPr>
                  <m:t>C</m:t>
                </m:r>
                <m:sSub>
                  <m:sSubPr>
                    <m:ctrlPr>
                      <w:rPr>
                        <w:rFonts w:ascii="Cambria Math" w:hAnsi="Cambria Math"/>
                        <w:i/>
                        <w:lang w:eastAsia="en-GB"/>
                      </w:rPr>
                    </m:ctrlPr>
                  </m:sSubPr>
                  <m:e>
                    <m:r>
                      <m:rPr>
                        <m:sty m:val="bi"/>
                      </m:rPr>
                      <w:rPr>
                        <w:rFonts w:ascii="Cambria Math"/>
                        <w:lang w:eastAsia="en-GB"/>
                      </w:rPr>
                      <m:t>W</m:t>
                    </m:r>
                  </m:e>
                  <m:sub>
                    <m:func>
                      <m:funcPr>
                        <m:ctrlPr>
                          <w:rPr>
                            <w:rFonts w:ascii="Cambria Math" w:hAnsi="Cambria Math"/>
                            <w:i/>
                            <w:lang w:eastAsia="en-GB"/>
                          </w:rPr>
                        </m:ctrlPr>
                      </m:funcPr>
                      <m:fName>
                        <m:r>
                          <m:rPr>
                            <m:sty m:val="bi"/>
                          </m:rPr>
                          <w:rPr>
                            <w:rFonts w:ascii="Cambria Math"/>
                            <w:lang w:eastAsia="en-GB"/>
                          </w:rPr>
                          <m:t>max,</m:t>
                        </m:r>
                      </m:fName>
                      <m:e>
                        <m:r>
                          <m:rPr>
                            <m:sty m:val="bi"/>
                          </m:rPr>
                          <w:rPr>
                            <w:rFonts w:ascii="Cambria Math"/>
                            <w:lang w:eastAsia="en-GB"/>
                          </w:rPr>
                          <m:t>p</m:t>
                        </m:r>
                      </m:e>
                    </m:func>
                  </m:sub>
                </m:sSub>
              </m:oMath>
            </m:oMathPara>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2A0749" w14:textId="77777777" w:rsidR="00BE2F34" w:rsidRDefault="00884830">
            <w:pPr>
              <w:pStyle w:val="TAH"/>
              <w:rPr>
                <w:lang w:eastAsia="en-GB"/>
              </w:rPr>
            </w:pPr>
            <m:oMathPara>
              <m:oMath>
                <m:sSub>
                  <m:sSubPr>
                    <m:ctrlPr>
                      <w:rPr>
                        <w:rFonts w:ascii="Cambria Math" w:hAnsi="Cambria Math"/>
                        <w:i/>
                        <w:lang w:eastAsia="en-GB"/>
                      </w:rPr>
                    </m:ctrlPr>
                  </m:sSubPr>
                  <m:e>
                    <m:r>
                      <m:rPr>
                        <m:sty m:val="bi"/>
                      </m:rPr>
                      <w:rPr>
                        <w:rFonts w:ascii="Cambria Math"/>
                        <w:lang w:eastAsia="en-GB"/>
                      </w:rPr>
                      <m:t>T</m:t>
                    </m:r>
                  </m:e>
                  <m:sub>
                    <m:r>
                      <m:rPr>
                        <m:sty m:val="bi"/>
                      </m:rPr>
                      <w:rPr>
                        <w:rFonts w:ascii="Cambria Math"/>
                        <w:lang w:eastAsia="en-GB"/>
                      </w:rPr>
                      <m:t>m</m:t>
                    </m:r>
                    <m:func>
                      <m:funcPr>
                        <m:ctrlPr>
                          <w:rPr>
                            <w:rFonts w:ascii="Cambria Math" w:hAnsi="Cambria Math"/>
                            <w:i/>
                            <w:lang w:eastAsia="en-GB"/>
                          </w:rPr>
                        </m:ctrlPr>
                      </m:funcPr>
                      <m:fName>
                        <m:r>
                          <m:rPr>
                            <m:sty m:val="bi"/>
                          </m:rPr>
                          <w:rPr>
                            <w:rFonts w:ascii="Cambria Math"/>
                            <w:lang w:eastAsia="en-GB"/>
                          </w:rPr>
                          <m:t>cot,</m:t>
                        </m:r>
                      </m:fName>
                      <m:e>
                        <m:r>
                          <m:rPr>
                            <m:sty m:val="bi"/>
                          </m:rPr>
                          <w:rPr>
                            <w:rFonts w:ascii="Cambria Math"/>
                            <w:lang w:eastAsia="en-GB"/>
                          </w:rPr>
                          <m:t>p</m:t>
                        </m:r>
                      </m:e>
                    </m:func>
                  </m:sub>
                </m:sSub>
              </m:oMath>
            </m:oMathPara>
          </w:p>
        </w:tc>
        <w:tc>
          <w:tcPr>
            <w:tcW w:w="269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667ABF" w14:textId="77777777" w:rsidR="00BE2F34" w:rsidRDefault="00BE2F34">
            <w:pPr>
              <w:pStyle w:val="TAH"/>
              <w:rPr>
                <w:lang w:eastAsia="en-GB"/>
              </w:rPr>
            </w:pPr>
            <w:r>
              <w:rPr>
                <w:lang w:eastAsia="en-GB"/>
              </w:rPr>
              <w:t xml:space="preserve">allowed </w:t>
            </w:r>
            <m:oMath>
              <m:r>
                <m:rPr>
                  <m:sty m:val="bi"/>
                </m:rPr>
                <w:rPr>
                  <w:rFonts w:ascii="Cambria Math"/>
                  <w:lang w:eastAsia="en-GB"/>
                </w:rPr>
                <m:t>C</m:t>
              </m:r>
              <m:sSub>
                <m:sSubPr>
                  <m:ctrlPr>
                    <w:rPr>
                      <w:rFonts w:ascii="Cambria Math" w:hAnsi="Cambria Math"/>
                      <w:i/>
                      <w:lang w:eastAsia="en-GB"/>
                    </w:rPr>
                  </m:ctrlPr>
                </m:sSubPr>
                <m:e>
                  <m:r>
                    <m:rPr>
                      <m:sty m:val="bi"/>
                    </m:rPr>
                    <w:rPr>
                      <w:rFonts w:ascii="Cambria Math"/>
                      <w:lang w:eastAsia="en-GB"/>
                    </w:rPr>
                    <m:t>W</m:t>
                  </m:r>
                </m:e>
                <m:sub>
                  <m:r>
                    <m:rPr>
                      <m:sty m:val="bi"/>
                    </m:rPr>
                    <w:rPr>
                      <w:rFonts w:ascii="Cambria Math"/>
                      <w:lang w:eastAsia="en-GB"/>
                    </w:rPr>
                    <m:t>p</m:t>
                  </m:r>
                </m:sub>
              </m:sSub>
            </m:oMath>
            <w:r>
              <w:rPr>
                <w:lang w:eastAsia="en-GB"/>
              </w:rPr>
              <w:t>sizes</w:t>
            </w:r>
          </w:p>
        </w:tc>
      </w:tr>
      <w:tr w:rsidR="00BE2F34" w14:paraId="44B01A8D" w14:textId="77777777" w:rsidTr="00BE2F34">
        <w:trPr>
          <w:trHeight w:val="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591CA55D" w14:textId="77777777" w:rsidR="00BE2F34" w:rsidRDefault="00BE2F34">
            <w:pPr>
              <w:pStyle w:val="TAC"/>
              <w:rPr>
                <w:lang w:eastAsia="en-GB"/>
              </w:rPr>
            </w:pPr>
            <w:r>
              <w:rPr>
                <w:lang w:eastAsia="en-GB"/>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00CF3B" w14:textId="77777777" w:rsidR="00BE2F34" w:rsidRDefault="00BE2F34">
            <w:pPr>
              <w:pStyle w:val="TAC"/>
              <w:rPr>
                <w:lang w:eastAsia="en-GB"/>
              </w:rPr>
            </w:pPr>
            <w:r>
              <w:rPr>
                <w:lang w:eastAsia="en-GB"/>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91ADA3C" w14:textId="77777777" w:rsidR="00BE2F34" w:rsidRDefault="00BE2F34">
            <w:pPr>
              <w:pStyle w:val="TAC"/>
              <w:rPr>
                <w:lang w:eastAsia="en-GB"/>
              </w:rPr>
            </w:pPr>
            <w:r>
              <w:rPr>
                <w:lang w:eastAsia="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32F46F" w14:textId="77777777" w:rsidR="00BE2F34" w:rsidRDefault="00BE2F34">
            <w:pPr>
              <w:pStyle w:val="TAC"/>
              <w:rPr>
                <w:lang w:eastAsia="en-GB"/>
              </w:rPr>
            </w:pPr>
            <w:r>
              <w:rPr>
                <w:lang w:eastAsia="en-GB"/>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D8087C" w14:textId="77777777" w:rsidR="00BE2F34" w:rsidRDefault="00BE2F34">
            <w:pPr>
              <w:pStyle w:val="TAC"/>
              <w:rPr>
                <w:lang w:eastAsia="en-GB"/>
              </w:rPr>
            </w:pPr>
            <w:r>
              <w:rPr>
                <w:lang w:eastAsia="en-GB"/>
              </w:rPr>
              <w:t>2 ms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59CA65CC" w14:textId="77777777" w:rsidR="00BE2F34" w:rsidRDefault="00BE2F34">
            <w:pPr>
              <w:pStyle w:val="TAC"/>
              <w:rPr>
                <w:lang w:eastAsia="en-GB"/>
              </w:rPr>
            </w:pPr>
            <w:r>
              <w:rPr>
                <w:lang w:eastAsia="en-GB"/>
              </w:rPr>
              <w:t>{3,7}</w:t>
            </w:r>
          </w:p>
        </w:tc>
      </w:tr>
      <w:tr w:rsidR="00BE2F34" w14:paraId="57DBECCD" w14:textId="77777777" w:rsidTr="00BE2F34">
        <w:trPr>
          <w:trHeight w:val="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32F76C17" w14:textId="77777777" w:rsidR="00BE2F34" w:rsidRDefault="00BE2F34">
            <w:pPr>
              <w:pStyle w:val="TAC"/>
              <w:rPr>
                <w:lang w:eastAsia="en-GB"/>
              </w:rPr>
            </w:pPr>
            <w:r>
              <w:rPr>
                <w:lang w:eastAsia="en-GB"/>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FA722A" w14:textId="77777777" w:rsidR="00BE2F34" w:rsidRDefault="00BE2F34">
            <w:pPr>
              <w:pStyle w:val="TAC"/>
              <w:rPr>
                <w:lang w:eastAsia="en-GB"/>
              </w:rPr>
            </w:pPr>
            <w:r>
              <w:rPr>
                <w:lang w:eastAsia="en-GB"/>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FA9DDC" w14:textId="77777777" w:rsidR="00BE2F34" w:rsidRDefault="00BE2F34">
            <w:pPr>
              <w:pStyle w:val="TAC"/>
              <w:rPr>
                <w:lang w:eastAsia="en-GB"/>
              </w:rPr>
            </w:pPr>
            <w:r>
              <w:rPr>
                <w:lang w:eastAsia="en-GB"/>
              </w:rPr>
              <w:t>7</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86CA47" w14:textId="77777777" w:rsidR="00BE2F34" w:rsidRDefault="00BE2F34">
            <w:pPr>
              <w:pStyle w:val="TAC"/>
              <w:rPr>
                <w:lang w:eastAsia="en-GB"/>
              </w:rPr>
            </w:pPr>
            <w:r>
              <w:rPr>
                <w:lang w:eastAsia="en-GB"/>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0AD8F7" w14:textId="77777777" w:rsidR="00BE2F34" w:rsidRDefault="00BE2F34">
            <w:pPr>
              <w:pStyle w:val="TAC"/>
              <w:rPr>
                <w:lang w:eastAsia="en-GB"/>
              </w:rPr>
            </w:pPr>
            <w:r>
              <w:rPr>
                <w:lang w:eastAsia="en-GB"/>
              </w:rPr>
              <w:t>3 ms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44324709" w14:textId="77777777" w:rsidR="00BE2F34" w:rsidRDefault="00BE2F34">
            <w:pPr>
              <w:pStyle w:val="TAC"/>
              <w:rPr>
                <w:lang w:eastAsia="en-GB"/>
              </w:rPr>
            </w:pPr>
            <w:r>
              <w:rPr>
                <w:lang w:eastAsia="en-GB"/>
              </w:rPr>
              <w:t>{7,15}</w:t>
            </w:r>
          </w:p>
        </w:tc>
      </w:tr>
      <w:tr w:rsidR="00BE2F34" w14:paraId="4141A077" w14:textId="77777777" w:rsidTr="00BE2F34">
        <w:trPr>
          <w:trHeight w:val="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2B1847B8" w14:textId="77777777" w:rsidR="00BE2F34" w:rsidRDefault="00BE2F34">
            <w:pPr>
              <w:pStyle w:val="TAC"/>
              <w:rPr>
                <w:lang w:eastAsia="en-GB"/>
              </w:rPr>
            </w:pPr>
            <w:r>
              <w:rPr>
                <w:lang w:eastAsia="en-GB"/>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84301D" w14:textId="77777777" w:rsidR="00BE2F34" w:rsidRDefault="00BE2F34">
            <w:pPr>
              <w:pStyle w:val="TAC"/>
              <w:rPr>
                <w:lang w:eastAsia="en-GB"/>
              </w:rPr>
            </w:pPr>
            <w:r>
              <w:rPr>
                <w:lang w:eastAsia="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36B34F" w14:textId="77777777" w:rsidR="00BE2F34" w:rsidRDefault="00BE2F34">
            <w:pPr>
              <w:pStyle w:val="TAC"/>
              <w:rPr>
                <w:lang w:eastAsia="en-GB"/>
              </w:rPr>
            </w:pPr>
            <w:r>
              <w:rPr>
                <w:lang w:eastAsia="en-GB"/>
              </w:rPr>
              <w:t>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89B151" w14:textId="77777777" w:rsidR="00BE2F34" w:rsidRDefault="00BE2F34">
            <w:pPr>
              <w:pStyle w:val="TAC"/>
              <w:rPr>
                <w:lang w:eastAsia="en-GB"/>
              </w:rPr>
            </w:pPr>
            <w:r>
              <w:rPr>
                <w:lang w:eastAsia="en-GB"/>
              </w:rPr>
              <w:t>63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64658A" w14:textId="77777777" w:rsidR="00BE2F34" w:rsidRDefault="00BE2F34">
            <w:pPr>
              <w:pStyle w:val="TAC"/>
              <w:rPr>
                <w:lang w:eastAsia="en-GB"/>
              </w:rPr>
            </w:pPr>
            <w:r>
              <w:rPr>
                <w:lang w:eastAsia="en-GB"/>
              </w:rPr>
              <w:t>8 or 10 ms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4398354D" w14:textId="77777777" w:rsidR="00BE2F34" w:rsidRDefault="00BE2F34">
            <w:pPr>
              <w:pStyle w:val="TAC"/>
              <w:rPr>
                <w:lang w:eastAsia="en-GB"/>
              </w:rPr>
            </w:pPr>
            <w:r>
              <w:rPr>
                <w:lang w:eastAsia="en-GB"/>
              </w:rPr>
              <w:t>{15,31,63}</w:t>
            </w:r>
          </w:p>
        </w:tc>
      </w:tr>
      <w:tr w:rsidR="00BE2F34" w14:paraId="2CA1B4EE" w14:textId="77777777" w:rsidTr="00BE2F34">
        <w:trPr>
          <w:trHeight w:val="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0DB5D8BD" w14:textId="77777777" w:rsidR="00BE2F34" w:rsidRDefault="00BE2F34">
            <w:pPr>
              <w:pStyle w:val="TAC"/>
              <w:rPr>
                <w:lang w:eastAsia="en-GB"/>
              </w:rPr>
            </w:pPr>
            <w:r>
              <w:rPr>
                <w:lang w:eastAsia="en-GB"/>
              </w:rPr>
              <w:t>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8688" w14:textId="77777777" w:rsidR="00BE2F34" w:rsidRDefault="00BE2F34">
            <w:pPr>
              <w:pStyle w:val="TAC"/>
              <w:rPr>
                <w:lang w:eastAsia="en-GB"/>
              </w:rPr>
            </w:pPr>
            <w:r>
              <w:rPr>
                <w:lang w:eastAsia="en-GB"/>
              </w:rPr>
              <w:t>7</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5DC7E7" w14:textId="77777777" w:rsidR="00BE2F34" w:rsidRDefault="00BE2F34">
            <w:pPr>
              <w:pStyle w:val="TAC"/>
              <w:rPr>
                <w:lang w:eastAsia="en-GB"/>
              </w:rPr>
            </w:pPr>
            <w:r>
              <w:rPr>
                <w:lang w:eastAsia="en-GB"/>
              </w:rPr>
              <w:t>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CAC11C" w14:textId="77777777" w:rsidR="00BE2F34" w:rsidRDefault="00BE2F34">
            <w:pPr>
              <w:pStyle w:val="TAC"/>
              <w:rPr>
                <w:lang w:eastAsia="en-GB"/>
              </w:rPr>
            </w:pPr>
            <w:r>
              <w:rPr>
                <w:lang w:eastAsia="en-GB"/>
              </w:rPr>
              <w:t>1023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F20FE" w14:textId="77777777" w:rsidR="00BE2F34" w:rsidRDefault="00BE2F34">
            <w:pPr>
              <w:pStyle w:val="TAC"/>
              <w:rPr>
                <w:lang w:eastAsia="en-GB"/>
              </w:rPr>
            </w:pPr>
            <w:r>
              <w:rPr>
                <w:lang w:eastAsia="en-GB"/>
              </w:rPr>
              <w:t>8 or 10 ms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5E819799" w14:textId="77777777" w:rsidR="00BE2F34" w:rsidRDefault="00BE2F34">
            <w:pPr>
              <w:pStyle w:val="TAC"/>
              <w:rPr>
                <w:lang w:eastAsia="en-GB"/>
              </w:rPr>
            </w:pPr>
            <w:r>
              <w:rPr>
                <w:lang w:eastAsia="en-GB"/>
              </w:rPr>
              <w:t>{15,31,63,127,255,511,1023}</w:t>
            </w:r>
          </w:p>
        </w:tc>
      </w:tr>
    </w:tbl>
    <w:p w14:paraId="0726137D" w14:textId="5F5FB08C" w:rsidR="00874A28" w:rsidRPr="001A0925" w:rsidRDefault="00874A28" w:rsidP="001A0925">
      <w:pPr>
        <w:pStyle w:val="TF"/>
        <w:rPr>
          <w:rFonts w:ascii="Times New Roman" w:hAnsi="Times New Roman"/>
        </w:rPr>
      </w:pPr>
      <w:r w:rsidRPr="001A0925">
        <w:rPr>
          <w:rFonts w:ascii="Times New Roman" w:hAnsi="Times New Roman"/>
        </w:rPr>
        <w:t xml:space="preserve">Table </w:t>
      </w:r>
      <w:r w:rsidRPr="001A0925">
        <w:rPr>
          <w:rFonts w:ascii="Times New Roman" w:hAnsi="Times New Roman"/>
        </w:rPr>
        <w:fldChar w:fldCharType="begin"/>
      </w:r>
      <w:r w:rsidRPr="001A0925">
        <w:rPr>
          <w:rFonts w:ascii="Times New Roman" w:hAnsi="Times New Roman"/>
        </w:rPr>
        <w:instrText>SEQ Table \* ARABIC</w:instrText>
      </w:r>
      <w:r w:rsidRPr="001A0925">
        <w:rPr>
          <w:rFonts w:ascii="Times New Roman" w:hAnsi="Times New Roman"/>
        </w:rPr>
        <w:fldChar w:fldCharType="separate"/>
      </w:r>
      <w:r w:rsidR="005346B1">
        <w:rPr>
          <w:rFonts w:ascii="Times New Roman" w:hAnsi="Times New Roman"/>
          <w:noProof/>
        </w:rPr>
        <w:t>1</w:t>
      </w:r>
      <w:r w:rsidRPr="001A0925">
        <w:rPr>
          <w:rFonts w:ascii="Times New Roman" w:hAnsi="Times New Roman"/>
        </w:rPr>
        <w:fldChar w:fldCharType="end"/>
      </w:r>
      <w:bookmarkEnd w:id="7"/>
      <w:r w:rsidRPr="001A0925">
        <w:rPr>
          <w:rFonts w:ascii="Times New Roman" w:hAnsi="Times New Roman"/>
        </w:rPr>
        <w:t>: From TS 37.213 "Table 4.</w:t>
      </w:r>
      <w:r w:rsidR="001A0925" w:rsidRPr="001A0925">
        <w:rPr>
          <w:rFonts w:ascii="Times New Roman" w:hAnsi="Times New Roman"/>
        </w:rPr>
        <w:t>1</w:t>
      </w:r>
      <w:r w:rsidRPr="001A0925">
        <w:rPr>
          <w:rFonts w:ascii="Times New Roman" w:hAnsi="Times New Roman"/>
        </w:rPr>
        <w:t xml:space="preserve">.1-1: Channel Access Priority Class (CAPC) for </w:t>
      </w:r>
      <w:r w:rsidR="001A0925" w:rsidRPr="001A0925">
        <w:rPr>
          <w:rFonts w:ascii="Times New Roman" w:hAnsi="Times New Roman"/>
        </w:rPr>
        <w:t>D</w:t>
      </w:r>
      <w:r w:rsidRPr="001A0925">
        <w:rPr>
          <w:rFonts w:ascii="Times New Roman" w:hAnsi="Times New Roman"/>
        </w:rPr>
        <w:t>L". The contention window length in CCA slots associated with each CAPC has a minimum (</w:t>
      </w:r>
      <m:oMath>
        <m:r>
          <m:rPr>
            <m:sty m:val="bi"/>
          </m:rPr>
          <w:rPr>
            <w:rFonts w:ascii="Cambria Math" w:hAnsi="Times New Roman"/>
          </w:rPr>
          <m:t>C</m:t>
        </m:r>
        <m:sSub>
          <m:sSubPr>
            <m:ctrlPr>
              <w:rPr>
                <w:rFonts w:ascii="Cambria Math" w:hAnsi="Cambria Math"/>
              </w:rPr>
            </m:ctrlPr>
          </m:sSubPr>
          <m:e>
            <m:r>
              <m:rPr>
                <m:sty m:val="bi"/>
              </m:rPr>
              <w:rPr>
                <w:rFonts w:ascii="Cambria Math" w:hAnsi="Times New Roman"/>
              </w:rPr>
              <m:t>W</m:t>
            </m:r>
          </m:e>
          <m:sub>
            <m:func>
              <m:funcPr>
                <m:ctrlPr>
                  <w:rPr>
                    <w:rFonts w:ascii="Cambria Math" w:hAnsi="Cambria Math"/>
                  </w:rPr>
                </m:ctrlPr>
              </m:funcPr>
              <m:fName>
                <m:r>
                  <m:rPr>
                    <m:sty m:val="bi"/>
                  </m:rPr>
                  <w:rPr>
                    <w:rFonts w:ascii="Cambria Math" w:hAnsi="Times New Roman"/>
                  </w:rPr>
                  <m:t>min</m:t>
                </m:r>
                <m:r>
                  <m:rPr>
                    <m:sty m:val="b"/>
                  </m:rPr>
                  <w:rPr>
                    <w:rFonts w:ascii="Cambria Math" w:hAnsi="Times New Roman"/>
                  </w:rPr>
                  <m:t>,</m:t>
                </m:r>
              </m:fName>
              <m:e>
                <m:r>
                  <m:rPr>
                    <m:sty m:val="bi"/>
                  </m:rPr>
                  <w:rPr>
                    <w:rFonts w:ascii="Cambria Math" w:hAnsi="Times New Roman"/>
                  </w:rPr>
                  <m:t>p</m:t>
                </m:r>
              </m:e>
            </m:func>
          </m:sub>
        </m:sSub>
        <m:r>
          <m:rPr>
            <m:sty m:val="b"/>
          </m:rPr>
          <w:rPr>
            <w:rFonts w:ascii="Cambria Math" w:hAnsi="Cambria Math"/>
          </w:rPr>
          <m:t xml:space="preserve">) </m:t>
        </m:r>
      </m:oMath>
      <w:r w:rsidRPr="001A0925">
        <w:rPr>
          <w:rFonts w:ascii="Times New Roman" w:hAnsi="Times New Roman"/>
        </w:rPr>
        <w:t>and maximum (</w:t>
      </w:r>
      <m:oMath>
        <m:r>
          <m:rPr>
            <m:sty m:val="bi"/>
          </m:rPr>
          <w:rPr>
            <w:rFonts w:ascii="Cambria Math" w:hAnsi="Times New Roman"/>
          </w:rPr>
          <m:t>C</m:t>
        </m:r>
        <m:sSub>
          <m:sSubPr>
            <m:ctrlPr>
              <w:rPr>
                <w:rFonts w:ascii="Cambria Math" w:hAnsi="Cambria Math"/>
              </w:rPr>
            </m:ctrlPr>
          </m:sSubPr>
          <m:e>
            <m:r>
              <m:rPr>
                <m:sty m:val="bi"/>
              </m:rPr>
              <w:rPr>
                <w:rFonts w:ascii="Cambria Math" w:hAnsi="Times New Roman"/>
              </w:rPr>
              <m:t>W</m:t>
            </m:r>
          </m:e>
          <m:sub>
            <m:func>
              <m:funcPr>
                <m:ctrlPr>
                  <w:rPr>
                    <w:rFonts w:ascii="Cambria Math" w:hAnsi="Cambria Math"/>
                  </w:rPr>
                </m:ctrlPr>
              </m:funcPr>
              <m:fName>
                <m:r>
                  <m:rPr>
                    <m:sty m:val="bi"/>
                  </m:rPr>
                  <w:rPr>
                    <w:rFonts w:ascii="Cambria Math" w:hAnsi="Times New Roman"/>
                  </w:rPr>
                  <m:t>max</m:t>
                </m:r>
                <m:r>
                  <m:rPr>
                    <m:sty m:val="b"/>
                  </m:rPr>
                  <w:rPr>
                    <w:rFonts w:ascii="Cambria Math" w:hAnsi="Times New Roman"/>
                  </w:rPr>
                  <m:t>,</m:t>
                </m:r>
              </m:fName>
              <m:e>
                <m:r>
                  <m:rPr>
                    <m:sty m:val="bi"/>
                  </m:rPr>
                  <w:rPr>
                    <w:rFonts w:ascii="Cambria Math" w:hAnsi="Times New Roman"/>
                  </w:rPr>
                  <m:t>p</m:t>
                </m:r>
              </m:e>
            </m:func>
          </m:sub>
        </m:sSub>
        <m:r>
          <m:rPr>
            <m:sty m:val="b"/>
          </m:rPr>
          <w:rPr>
            <w:rFonts w:ascii="Cambria Math" w:hAnsi="Cambria Math"/>
          </w:rPr>
          <m:t>)</m:t>
        </m:r>
      </m:oMath>
      <w:r w:rsidRPr="001A0925">
        <w:rPr>
          <w:rFonts w:ascii="Times New Roman" w:hAnsi="Times New Roman"/>
        </w:rPr>
        <w:t xml:space="preserve">. The duration of the COT is given by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ulm</m:t>
            </m:r>
            <m:func>
              <m:funcPr>
                <m:ctrlPr>
                  <w:rPr>
                    <w:rFonts w:ascii="Cambria Math" w:hAnsi="Cambria Math"/>
                  </w:rPr>
                </m:ctrlPr>
              </m:funcPr>
              <m:fName>
                <m:r>
                  <m:rPr>
                    <m:sty m:val="bi"/>
                  </m:rPr>
                  <w:rPr>
                    <w:rFonts w:ascii="Cambria Math" w:hAnsi="Times New Roman"/>
                  </w:rPr>
                  <m:t>cot</m:t>
                </m:r>
                <m:r>
                  <m:rPr>
                    <m:sty m:val="b"/>
                  </m:rPr>
                  <w:rPr>
                    <w:rFonts w:ascii="Cambria Math" w:hAnsi="Times New Roman"/>
                  </w:rPr>
                  <m:t>,</m:t>
                </m:r>
              </m:fName>
              <m:e>
                <m:r>
                  <m:rPr>
                    <m:sty m:val="bi"/>
                  </m:rPr>
                  <w:rPr>
                    <w:rFonts w:ascii="Cambria Math" w:hAnsi="Times New Roman"/>
                  </w:rPr>
                  <m:t>p</m:t>
                </m:r>
              </m:e>
            </m:func>
          </m:sub>
        </m:sSub>
      </m:oMath>
      <w:r w:rsidRPr="001A0925">
        <w:rPr>
          <w:rFonts w:ascii="Times New Roman" w:hAnsi="Times New Roman"/>
        </w:rPr>
        <w:t>.</w:t>
      </w:r>
    </w:p>
    <w:p w14:paraId="792F4AD7" w14:textId="6EB6C20F" w:rsidR="00AF5FF2" w:rsidRPr="00EF5D4A" w:rsidRDefault="005D69A5" w:rsidP="00EF5D4A">
      <w:pPr>
        <w:pStyle w:val="Heading2"/>
      </w:pPr>
      <w:r>
        <w:t>2.2</w:t>
      </w:r>
      <w:r>
        <w:tab/>
      </w:r>
      <w:r w:rsidR="00EF5D4A" w:rsidRPr="00EF5D4A">
        <w:t>Channel Access Priority Class mapping</w:t>
      </w:r>
    </w:p>
    <w:p w14:paraId="26D3A6AB" w14:textId="7EA3338A" w:rsidR="00427988" w:rsidRPr="000D126E" w:rsidRDefault="00427988" w:rsidP="00427988">
      <w:pPr>
        <w:rPr>
          <w:lang w:val="en-US"/>
        </w:rPr>
      </w:pPr>
      <w:r>
        <w:rPr>
          <w:lang w:val="en-US"/>
        </w:rPr>
        <w:t>In RAN1 Meeting #109-e, the following agreement was made in agenda item 9.4.1.1 regarding channel access types:</w:t>
      </w:r>
    </w:p>
    <w:tbl>
      <w:tblPr>
        <w:tblStyle w:val="TableGrid"/>
        <w:tblW w:w="0" w:type="auto"/>
        <w:tblLook w:val="04A0" w:firstRow="1" w:lastRow="0" w:firstColumn="1" w:lastColumn="0" w:noHBand="0" w:noVBand="1"/>
      </w:tblPr>
      <w:tblGrid>
        <w:gridCol w:w="9631"/>
      </w:tblGrid>
      <w:tr w:rsidR="00427988" w14:paraId="651A3FB2" w14:textId="77777777" w:rsidTr="00D268CC">
        <w:tc>
          <w:tcPr>
            <w:tcW w:w="9631" w:type="dxa"/>
          </w:tcPr>
          <w:p w14:paraId="20ADB0E2" w14:textId="77777777" w:rsidR="00427988" w:rsidRDefault="00427988" w:rsidP="0035389C">
            <w:pPr>
              <w:jc w:val="both"/>
              <w:rPr>
                <w:rFonts w:cs="Times"/>
                <w:b/>
                <w:bCs/>
              </w:rPr>
            </w:pPr>
            <w:r>
              <w:rPr>
                <w:rFonts w:cs="Times"/>
                <w:b/>
                <w:bCs/>
                <w:highlight w:val="green"/>
              </w:rPr>
              <w:t>Agreement</w:t>
            </w:r>
          </w:p>
          <w:p w14:paraId="01423C91" w14:textId="58A5CB6D" w:rsidR="00427988" w:rsidRPr="00FC6047" w:rsidRDefault="00427988" w:rsidP="009D1C89">
            <w:pPr>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tc>
      </w:tr>
    </w:tbl>
    <w:p w14:paraId="2B72EA29" w14:textId="10341BC2" w:rsidR="00D268CC" w:rsidRDefault="00E32E69" w:rsidP="004F451D">
      <w:pPr>
        <w:spacing w:before="240"/>
        <w:jc w:val="both"/>
        <w:rPr>
          <w:lang w:val="en-US"/>
        </w:rPr>
      </w:pPr>
      <w:r>
        <w:rPr>
          <w:lang w:val="en-US"/>
        </w:rPr>
        <w:t>As of this</w:t>
      </w:r>
      <w:r w:rsidR="00D268CC">
        <w:rPr>
          <w:lang w:val="en-US"/>
        </w:rPr>
        <w:t>, the selection of CAPC for PSCCH and PSSCH transmission, the same CAPC should apply to both</w:t>
      </w:r>
      <w:r w:rsidR="00B05164">
        <w:rPr>
          <w:lang w:val="en-US"/>
        </w:rPr>
        <w:t xml:space="preserve"> UL and DL</w:t>
      </w:r>
      <w:r w:rsidR="00D268CC">
        <w:rPr>
          <w:lang w:val="en-US"/>
        </w:rPr>
        <w:t xml:space="preserve"> channels since both are anyway transmitted together, i.e., within the same slot.</w:t>
      </w:r>
      <w:r w:rsidR="00B05164">
        <w:rPr>
          <w:lang w:val="en-US"/>
        </w:rPr>
        <w:t xml:space="preserve"> This would also mean</w:t>
      </w:r>
      <w:r w:rsidR="009D1C89">
        <w:rPr>
          <w:lang w:val="en-US"/>
        </w:rPr>
        <w:t xml:space="preserve"> that </w:t>
      </w:r>
      <w:proofErr w:type="spellStart"/>
      <w:r w:rsidR="009D1C89" w:rsidRPr="00FC6047">
        <w:rPr>
          <w:rFonts w:cs="Times"/>
        </w:rPr>
        <w:t>sidelink</w:t>
      </w:r>
      <w:proofErr w:type="spellEnd"/>
      <w:r w:rsidR="009D1C89" w:rsidRPr="00FC6047">
        <w:rPr>
          <w:rFonts w:cs="Times"/>
        </w:rPr>
        <w:t xml:space="preserve"> priority levels (PQI or L1 priority), channel and signal mapping to the </w:t>
      </w:r>
      <w:r w:rsidR="006F057B">
        <w:rPr>
          <w:rFonts w:cs="Times"/>
        </w:rPr>
        <w:t>four</w:t>
      </w:r>
      <w:r w:rsidR="009D1C89" w:rsidRPr="00FC6047">
        <w:rPr>
          <w:rFonts w:cs="Times"/>
        </w:rPr>
        <w:t xml:space="preserve"> channel access priority classes</w:t>
      </w:r>
      <w:r w:rsidR="009D1C89">
        <w:rPr>
          <w:rFonts w:cs="Times"/>
        </w:rPr>
        <w:t>.</w:t>
      </w:r>
    </w:p>
    <w:p w14:paraId="728E0022" w14:textId="2CABF0D2" w:rsidR="00D268CC" w:rsidRPr="00891439" w:rsidRDefault="00D268CC" w:rsidP="00D268CC">
      <w:pPr>
        <w:jc w:val="both"/>
        <w:rPr>
          <w:lang w:val="en-US"/>
        </w:rPr>
      </w:pPr>
      <w:bookmarkStart w:id="8" w:name="Obs83439"/>
      <w:bookmarkStart w:id="9" w:name="Obs61526"/>
      <w:r w:rsidRPr="00891439">
        <w:rPr>
          <w:b/>
          <w:lang w:val="en-US"/>
        </w:rPr>
        <w:t xml:space="preserve">Observation </w:t>
      </w:r>
      <w:r w:rsidRPr="00891439">
        <w:rPr>
          <w:b/>
          <w:color w:val="2B579A"/>
          <w:shd w:val="clear" w:color="auto" w:fill="E6E6E6"/>
          <w:lang w:val="en-US"/>
        </w:rPr>
        <w:fldChar w:fldCharType="begin"/>
      </w:r>
      <w:r w:rsidRPr="00891439">
        <w:rPr>
          <w:b/>
          <w:lang w:val="en-US"/>
        </w:rPr>
        <w:instrText xml:space="preserve"> SEQ Obs \* Arabic </w:instrText>
      </w:r>
      <w:r w:rsidRPr="00891439">
        <w:rPr>
          <w:b/>
          <w:color w:val="2B579A"/>
          <w:shd w:val="clear" w:color="auto" w:fill="E6E6E6"/>
          <w:lang w:val="en-US"/>
        </w:rPr>
        <w:fldChar w:fldCharType="separate"/>
      </w:r>
      <w:r w:rsidR="005346B1" w:rsidRPr="00891439">
        <w:rPr>
          <w:b/>
          <w:noProof/>
          <w:lang w:val="en-US"/>
        </w:rPr>
        <w:t>2</w:t>
      </w:r>
      <w:r w:rsidRPr="00891439">
        <w:rPr>
          <w:b/>
          <w:color w:val="2B579A"/>
          <w:shd w:val="clear" w:color="auto" w:fill="E6E6E6"/>
          <w:lang w:val="en-US"/>
        </w:rPr>
        <w:fldChar w:fldCharType="end"/>
      </w:r>
      <w:r w:rsidRPr="00891439">
        <w:rPr>
          <w:b/>
          <w:lang w:val="en-US"/>
        </w:rPr>
        <w:t>: The same CAPC is applied to PSCCH and to PSSCH as these channels are anyway transmitted together in the same slot.</w:t>
      </w:r>
    </w:p>
    <w:bookmarkEnd w:id="8"/>
    <w:bookmarkEnd w:id="9"/>
    <w:p w14:paraId="4CA7FF01" w14:textId="2F977F54" w:rsidR="00D268CC" w:rsidRDefault="00D268CC" w:rsidP="00D268CC">
      <w:pPr>
        <w:jc w:val="both"/>
        <w:rPr>
          <w:lang w:val="en-US"/>
        </w:rPr>
      </w:pPr>
      <w:r>
        <w:rPr>
          <w:lang w:val="en-US"/>
        </w:rPr>
        <w:t xml:space="preserve">The selection of the CAPC to use for initiating a PSCCH/PSSCH transmission can follow the same principle as in NR-U for UL configured grants </w:t>
      </w:r>
      <w:r w:rsidRPr="006500F4">
        <w:rPr>
          <w:lang w:val="en-US"/>
        </w:rPr>
        <w:t>PUSCH</w:t>
      </w:r>
      <w:r>
        <w:rPr>
          <w:lang w:val="en-US"/>
        </w:rPr>
        <w:t xml:space="preserve">. This means that the highest CAPC index (of larger CW and longer COT durations) associated with the logical channels multiplexed in a transport block is chosen. Some exceptions may happen, for example, a UE might decide to keep a lower CAPC when </w:t>
      </w:r>
      <w:proofErr w:type="spellStart"/>
      <w:r>
        <w:rPr>
          <w:lang w:val="en-US"/>
        </w:rPr>
        <w:t>sidelink</w:t>
      </w:r>
      <w:proofErr w:type="spellEnd"/>
      <w:r>
        <w:rPr>
          <w:lang w:val="en-US"/>
        </w:rPr>
        <w:t xml:space="preserve"> </w:t>
      </w:r>
      <w:r w:rsidR="009D1C89">
        <w:rPr>
          <w:lang w:val="en-US"/>
        </w:rPr>
        <w:t>signaling</w:t>
      </w:r>
      <w:r>
        <w:rPr>
          <w:lang w:val="en-US"/>
        </w:rPr>
        <w:t xml:space="preserve"> radio bearers (SL SRB) are present, </w:t>
      </w:r>
      <w:proofErr w:type="gramStart"/>
      <w:r>
        <w:rPr>
          <w:lang w:val="en-US"/>
        </w:rPr>
        <w:t>e.g.</w:t>
      </w:r>
      <w:proofErr w:type="gramEnd"/>
      <w:r>
        <w:rPr>
          <w:lang w:val="en-US"/>
        </w:rPr>
        <w:t xml:space="preserve"> when PC5-S or PC5-RRC information is being transmitted in the TB.</w:t>
      </w:r>
    </w:p>
    <w:p w14:paraId="63EE9D82" w14:textId="1CEA8214" w:rsidR="00D268CC" w:rsidRPr="008435C4" w:rsidRDefault="00D268CC" w:rsidP="00D268CC">
      <w:pPr>
        <w:spacing w:after="240"/>
        <w:jc w:val="both"/>
        <w:rPr>
          <w:b/>
          <w:bCs/>
          <w:i/>
          <w:iCs/>
          <w:lang w:val="en-US"/>
        </w:rPr>
      </w:pPr>
      <w:bookmarkStart w:id="10" w:name="Proposal52444"/>
      <w:bookmarkStart w:id="11" w:name="Proposal13651"/>
      <w:r w:rsidRPr="009D1C89">
        <w:rPr>
          <w:b/>
          <w:bCs/>
          <w:lang w:val="en-US"/>
        </w:rPr>
        <w:t xml:space="preserve">Proposal </w:t>
      </w:r>
      <w:r w:rsidRPr="009D1C89">
        <w:rPr>
          <w:b/>
          <w:bCs/>
          <w:color w:val="2B579A"/>
          <w:lang w:val="en-US"/>
        </w:rPr>
        <w:fldChar w:fldCharType="begin"/>
      </w:r>
      <w:r w:rsidRPr="009D1C89">
        <w:rPr>
          <w:b/>
          <w:bCs/>
          <w:lang w:val="en-US"/>
        </w:rPr>
        <w:instrText xml:space="preserve"> SEQ Proposal \* Arabic </w:instrText>
      </w:r>
      <w:r w:rsidRPr="009D1C89">
        <w:rPr>
          <w:b/>
          <w:bCs/>
          <w:color w:val="2B579A"/>
          <w:lang w:val="en-US"/>
        </w:rPr>
        <w:fldChar w:fldCharType="separate"/>
      </w:r>
      <w:r w:rsidR="005346B1" w:rsidRPr="009D1C89">
        <w:rPr>
          <w:b/>
          <w:bCs/>
          <w:noProof/>
          <w:lang w:val="en-US"/>
        </w:rPr>
        <w:t>1</w:t>
      </w:r>
      <w:r w:rsidRPr="009D1C89">
        <w:rPr>
          <w:b/>
          <w:bCs/>
          <w:color w:val="2B579A"/>
          <w:lang w:val="en-US"/>
        </w:rPr>
        <w:fldChar w:fldCharType="end"/>
      </w:r>
      <w:r w:rsidRPr="009D1C89">
        <w:rPr>
          <w:b/>
          <w:bCs/>
          <w:lang w:val="en-US"/>
        </w:rPr>
        <w:t xml:space="preserve">: For selection of CAPC for PSCCH/PSSCH, reuse similar approach as used for NR-U UL CG </w:t>
      </w:r>
      <w:bookmarkStart w:id="12" w:name="_Hlk110586870"/>
      <w:r w:rsidRPr="009D1C89">
        <w:rPr>
          <w:b/>
          <w:bCs/>
          <w:lang w:val="en-US"/>
        </w:rPr>
        <w:t>PUSCH</w:t>
      </w:r>
      <w:bookmarkEnd w:id="12"/>
      <w:r w:rsidRPr="009D1C89">
        <w:rPr>
          <w:b/>
          <w:bCs/>
          <w:lang w:val="en-US"/>
        </w:rPr>
        <w:t xml:space="preserve">, i.e., based on priority of LCH data multiplexed in the TB. FFS potential exceptions, </w:t>
      </w:r>
      <w:proofErr w:type="gramStart"/>
      <w:r w:rsidRPr="009D1C89">
        <w:rPr>
          <w:b/>
          <w:bCs/>
          <w:lang w:val="en-US"/>
        </w:rPr>
        <w:t>e.g.</w:t>
      </w:r>
      <w:proofErr w:type="gramEnd"/>
      <w:r w:rsidRPr="009D1C89">
        <w:rPr>
          <w:b/>
          <w:bCs/>
          <w:lang w:val="en-US"/>
        </w:rPr>
        <w:t xml:space="preserve"> SL SRB</w:t>
      </w:r>
      <w:r>
        <w:rPr>
          <w:b/>
          <w:bCs/>
          <w:i/>
          <w:iCs/>
          <w:lang w:val="en-US"/>
        </w:rPr>
        <w:t>.</w:t>
      </w:r>
    </w:p>
    <w:bookmarkEnd w:id="10"/>
    <w:bookmarkEnd w:id="11"/>
    <w:p w14:paraId="1BB6BE10" w14:textId="77777777" w:rsidR="00D268CC" w:rsidRDefault="00D268CC" w:rsidP="00D268CC">
      <w:pPr>
        <w:jc w:val="both"/>
        <w:rPr>
          <w:rFonts w:cs="Arial"/>
          <w:color w:val="000000" w:themeColor="text1"/>
        </w:rPr>
      </w:pPr>
      <w:r>
        <w:rPr>
          <w:lang w:val="en-US"/>
        </w:rPr>
        <w:t>In case of different UEs transmitting PSFCH in a slot,</w:t>
      </w:r>
      <w:r w:rsidRPr="00E17F5E">
        <w:rPr>
          <w:lang w:val="en-US"/>
        </w:rPr>
        <w:t xml:space="preserve"> if </w:t>
      </w:r>
      <w:r>
        <w:rPr>
          <w:lang w:val="en-US"/>
        </w:rPr>
        <w:t>a</w:t>
      </w:r>
      <w:r w:rsidRPr="00E17F5E">
        <w:rPr>
          <w:lang w:val="en-US"/>
        </w:rPr>
        <w:t xml:space="preserve"> UE is associated to a CAPC of high </w:t>
      </w:r>
      <w:r w:rsidRPr="00DF01B4">
        <w:rPr>
          <w:i/>
          <w:iCs/>
          <w:lang w:val="en-US"/>
        </w:rPr>
        <w:t>p</w:t>
      </w:r>
      <w:r w:rsidRPr="00E17F5E">
        <w:rPr>
          <w:lang w:val="en-US"/>
        </w:rPr>
        <w:t xml:space="preserve"> value (for low priority information) it has higher probability of failing LBT and may miss the PSFCH transmission, causing HARQ-ACK misdetection issues. And if </w:t>
      </w:r>
      <w:r>
        <w:rPr>
          <w:lang w:val="en-US"/>
        </w:rPr>
        <w:t>a</w:t>
      </w:r>
      <w:r w:rsidRPr="00E17F5E">
        <w:rPr>
          <w:lang w:val="en-US"/>
        </w:rPr>
        <w:t xml:space="preserve"> UE is associated to a CAPC of low </w:t>
      </w:r>
      <w:r w:rsidRPr="00DF01B4">
        <w:rPr>
          <w:i/>
          <w:iCs/>
          <w:lang w:val="en-US"/>
        </w:rPr>
        <w:t>p</w:t>
      </w:r>
      <w:r w:rsidRPr="00E17F5E">
        <w:rPr>
          <w:lang w:val="en-US"/>
        </w:rPr>
        <w:t xml:space="preserve"> value (for high priority information) it has higher chance to acquire the channel as the contention window is lower, but it may happen in detriment of LBT failure for other devices which are also competing for the channel.</w:t>
      </w:r>
      <w:r>
        <w:rPr>
          <w:lang w:val="en-US"/>
        </w:rPr>
        <w:t xml:space="preserve"> </w:t>
      </w:r>
      <w:r w:rsidRPr="00187935">
        <w:rPr>
          <w:rFonts w:cs="Arial"/>
          <w:color w:val="000000" w:themeColor="text1"/>
        </w:rPr>
        <w:t>For example, taking the illustration above</w:t>
      </w:r>
      <w:r>
        <w:rPr>
          <w:rFonts w:cs="Arial"/>
          <w:color w:val="000000" w:themeColor="text1"/>
        </w:rPr>
        <w:t xml:space="preserve"> assuming </w:t>
      </w:r>
      <w:proofErr w:type="spellStart"/>
      <w:r w:rsidRPr="00D13500">
        <w:rPr>
          <w:rFonts w:cs="Arial"/>
          <w:i/>
          <w:iCs/>
          <w:color w:val="000000" w:themeColor="text1"/>
        </w:rPr>
        <w:t>p</w:t>
      </w:r>
      <w:r w:rsidRPr="00D13500">
        <w:rPr>
          <w:rFonts w:cs="Arial"/>
          <w:i/>
          <w:iCs/>
          <w:color w:val="000000" w:themeColor="text1"/>
          <w:vertAlign w:val="subscript"/>
        </w:rPr>
        <w:t>B</w:t>
      </w:r>
      <w:proofErr w:type="spellEnd"/>
      <w:r w:rsidRPr="00D13500">
        <w:rPr>
          <w:rFonts w:cs="Arial"/>
          <w:i/>
          <w:iCs/>
          <w:color w:val="000000" w:themeColor="text1"/>
        </w:rPr>
        <w:t>&lt;</w:t>
      </w:r>
      <w:proofErr w:type="spellStart"/>
      <w:r w:rsidRPr="00D13500">
        <w:rPr>
          <w:rFonts w:cs="Arial"/>
          <w:i/>
          <w:iCs/>
          <w:color w:val="000000" w:themeColor="text1"/>
        </w:rPr>
        <w:t>p</w:t>
      </w:r>
      <w:r w:rsidRPr="00D13500">
        <w:rPr>
          <w:rFonts w:cs="Arial"/>
          <w:i/>
          <w:iCs/>
          <w:color w:val="000000" w:themeColor="text1"/>
          <w:vertAlign w:val="subscript"/>
        </w:rPr>
        <w:t>A</w:t>
      </w:r>
      <w:proofErr w:type="spellEnd"/>
      <w:r w:rsidRPr="00187935">
        <w:rPr>
          <w:rFonts w:cs="Arial"/>
          <w:color w:val="000000" w:themeColor="text1"/>
        </w:rPr>
        <w:t>, if an Rx UE sending feedback associated to B uses a low CAPC/smaller CW and another Rx UE sending feedback associated to A uses a high CAPC/larger CW, only the former Rx UE may be able to finish the LBT procedure to transmit PSFCH</w:t>
      </w:r>
      <w:r>
        <w:rPr>
          <w:rFonts w:cs="Arial"/>
          <w:color w:val="000000" w:themeColor="text1"/>
        </w:rPr>
        <w:t xml:space="preserve">. </w:t>
      </w:r>
    </w:p>
    <w:p w14:paraId="4CA61B18" w14:textId="202E7BA4" w:rsidR="00D268CC" w:rsidRPr="001D4861" w:rsidRDefault="00D268CC" w:rsidP="00D268CC">
      <w:pPr>
        <w:spacing w:after="240"/>
        <w:jc w:val="both"/>
        <w:rPr>
          <w:rFonts w:cs="Arial"/>
          <w:color w:val="000000" w:themeColor="text1"/>
          <w:lang w:val="en-US"/>
        </w:rPr>
      </w:pPr>
      <w:bookmarkStart w:id="13" w:name="Obs83440"/>
      <w:bookmarkStart w:id="14" w:name="Obs61527"/>
      <w:r w:rsidRPr="001D4861">
        <w:rPr>
          <w:b/>
          <w:lang w:val="en-US"/>
        </w:rPr>
        <w:t xml:space="preserve">Observation </w:t>
      </w:r>
      <w:r w:rsidRPr="001D4861">
        <w:rPr>
          <w:b/>
          <w:color w:val="2B579A"/>
          <w:shd w:val="clear" w:color="auto" w:fill="E6E6E6"/>
          <w:lang w:val="en-US"/>
        </w:rPr>
        <w:fldChar w:fldCharType="begin"/>
      </w:r>
      <w:r w:rsidRPr="001D4861">
        <w:rPr>
          <w:b/>
          <w:lang w:val="en-US"/>
        </w:rPr>
        <w:instrText xml:space="preserve"> SEQ Obs \* Arabic </w:instrText>
      </w:r>
      <w:r w:rsidRPr="001D4861">
        <w:rPr>
          <w:b/>
          <w:color w:val="2B579A"/>
          <w:shd w:val="clear" w:color="auto" w:fill="E6E6E6"/>
          <w:lang w:val="en-US"/>
        </w:rPr>
        <w:fldChar w:fldCharType="separate"/>
      </w:r>
      <w:r w:rsidR="005346B1" w:rsidRPr="001D4861">
        <w:rPr>
          <w:b/>
          <w:noProof/>
          <w:lang w:val="en-US"/>
        </w:rPr>
        <w:t>3</w:t>
      </w:r>
      <w:r w:rsidRPr="001D4861">
        <w:rPr>
          <w:b/>
          <w:color w:val="2B579A"/>
          <w:shd w:val="clear" w:color="auto" w:fill="E6E6E6"/>
          <w:lang w:val="en-US"/>
        </w:rPr>
        <w:fldChar w:fldCharType="end"/>
      </w:r>
      <w:r w:rsidRPr="001D4861">
        <w:rPr>
          <w:b/>
          <w:lang w:val="en-US"/>
        </w:rPr>
        <w:t xml:space="preserve">: If different UEs apply different CAPC for transmitting PSFCH in a same PSFCH slot, the UE(s) which apply the highest CAPC will have lower likelihood of succeeding LBT. </w:t>
      </w:r>
    </w:p>
    <w:bookmarkEnd w:id="13"/>
    <w:bookmarkEnd w:id="14"/>
    <w:p w14:paraId="1B6A32CD" w14:textId="16F0C5F8" w:rsidR="00D268CC" w:rsidRDefault="00D268CC" w:rsidP="00D268CC">
      <w:pPr>
        <w:jc w:val="both"/>
      </w:pPr>
      <w:r>
        <w:t xml:space="preserve">One </w:t>
      </w:r>
      <w:r w:rsidR="6156A7A0">
        <w:t xml:space="preserve">option </w:t>
      </w:r>
      <w:r>
        <w:t xml:space="preserve">would be considering the ability of the SL UEs to monitor SCIs transmissions from other SL UEs for acquiring information which can be used to determine the channel access parameters for transmitting the PSFCH. Based on that, we can avoid that different UEs use different CAPC for transmitting in the same PSFCH slot, the UEs can then select the CAPC according to the highest priority informed in the monitored SCIs of transmissions associated to a same PSFCH slot, e.g., taking the minimum CAPC </w:t>
      </w:r>
      <w:r w:rsidRPr="3EA7C3B3">
        <w:rPr>
          <w:i/>
          <w:iCs/>
        </w:rPr>
        <w:t>p</w:t>
      </w:r>
      <w:r>
        <w:t xml:space="preserve"> value among the associated priorities.</w:t>
      </w:r>
    </w:p>
    <w:p w14:paraId="542B9619" w14:textId="1776D349" w:rsidR="00D268CC" w:rsidRPr="006924E7" w:rsidRDefault="00D268CC" w:rsidP="3EA7C3B3">
      <w:pPr>
        <w:jc w:val="both"/>
        <w:rPr>
          <w:b/>
          <w:bCs/>
          <w:lang w:val="en-US"/>
        </w:rPr>
      </w:pPr>
      <w:bookmarkStart w:id="15" w:name="Proposal52446"/>
      <w:bookmarkStart w:id="16" w:name="Proposal13653"/>
      <w:r w:rsidRPr="006924E7">
        <w:rPr>
          <w:b/>
          <w:bCs/>
          <w:lang w:val="en-US"/>
        </w:rPr>
        <w:t xml:space="preserve">Proposal </w:t>
      </w:r>
      <w:r w:rsidR="00587447">
        <w:rPr>
          <w:b/>
          <w:bCs/>
          <w:lang w:val="en-US"/>
        </w:rPr>
        <w:t>2</w:t>
      </w:r>
      <w:r w:rsidRPr="006924E7">
        <w:rPr>
          <w:b/>
          <w:bCs/>
          <w:lang w:val="en-US"/>
        </w:rPr>
        <w:t>: In case of simultaneous PSFCH transmissions mapped to the same PSFCH slot, if type 1 LBT is applied for transmitting PSFCH, the UEs should select the CAPC associated with the highest transmission priority among the monitored SCIs.</w:t>
      </w:r>
    </w:p>
    <w:bookmarkEnd w:id="15"/>
    <w:bookmarkEnd w:id="16"/>
    <w:p w14:paraId="0D009E2A" w14:textId="52E2F221" w:rsidR="1BA7B0DD" w:rsidRPr="001D4861" w:rsidRDefault="1BA7B0DD" w:rsidP="001D4861">
      <w:pPr>
        <w:jc w:val="both"/>
      </w:pPr>
      <w:r w:rsidRPr="001D4861">
        <w:t>Another option is to consider the case of supporting multiple PSFCH transmission opportunities to provide HARQ-ACK feedback for each PSSCH to solve LBT uncertainty problem. To ensure the channel access probability of PSFCH transmission, UE can be allowed to upgrade the CAPC to a higher priority (i.e., lower CAPC p) depending on LBT status of previous PSFCH transmission attempts.</w:t>
      </w:r>
    </w:p>
    <w:p w14:paraId="752661AE" w14:textId="0C18BBC1" w:rsidR="0046112E" w:rsidRPr="00587447" w:rsidRDefault="1BA7B0DD" w:rsidP="00587447">
      <w:pPr>
        <w:jc w:val="both"/>
        <w:rPr>
          <w:b/>
          <w:bCs/>
        </w:rPr>
      </w:pPr>
      <w:r w:rsidRPr="001D4861">
        <w:rPr>
          <w:b/>
          <w:bCs/>
        </w:rPr>
        <w:t xml:space="preserve">Proposal </w:t>
      </w:r>
      <w:r w:rsidR="00587447">
        <w:rPr>
          <w:b/>
          <w:bCs/>
        </w:rPr>
        <w:t>3</w:t>
      </w:r>
      <w:r w:rsidRPr="001D4861">
        <w:rPr>
          <w:b/>
          <w:bCs/>
        </w:rPr>
        <w:t>: In case of multiple PSFCH is supported, if type 1 LBT is applied for transmitting PSFCH, the UEs can be allowed to upgrade the CAPC to a higher priority depending on LBT status of previous PSFCH transmission attempts.</w:t>
      </w:r>
    </w:p>
    <w:p w14:paraId="75F541E4" w14:textId="2A38EA9D" w:rsidR="00AF5FF2" w:rsidRPr="0046112E" w:rsidRDefault="0046112E" w:rsidP="0046112E">
      <w:pPr>
        <w:pStyle w:val="Heading1"/>
      </w:pPr>
      <w:r>
        <w:t>3</w:t>
      </w:r>
      <w:r>
        <w:tab/>
      </w:r>
      <w:r w:rsidRPr="0046112E">
        <w:t>On HARQ feedback</w:t>
      </w:r>
    </w:p>
    <w:p w14:paraId="2F253E3F" w14:textId="77777777" w:rsidR="0099367B" w:rsidRPr="004263CC" w:rsidRDefault="0099367B" w:rsidP="0099367B">
      <w:pPr>
        <w:spacing w:after="0"/>
        <w:jc w:val="both"/>
      </w:pPr>
      <w:r w:rsidRPr="004263CC">
        <w:t>In unlicensed spectrum, channel access relies on LBT (</w:t>
      </w:r>
      <w:r>
        <w:t>L</w:t>
      </w:r>
      <w:r w:rsidRPr="004263CC">
        <w:t>isten-</w:t>
      </w:r>
      <w:r>
        <w:t>B</w:t>
      </w:r>
      <w:r w:rsidRPr="004263CC">
        <w:t>efore-</w:t>
      </w:r>
      <w:r>
        <w:t>T</w:t>
      </w:r>
      <w:r w:rsidRPr="004263CC">
        <w:t>alk) to ensure fair coexistence of different wireless communication systems. LBT uncertainty in unlicensed spectrum may substantially reduce efficiency of sidelink communication and increase latency. Reliable transmission of PSFCH is critical because retransmission of PSSCH consumes much more resources than PSFCH. While a PSSCH occupies multiple PRBs (typically more than 10 PRBs) and most OFDM symbols of a slot, a PSFCH only occupies one PRB and 2 OFDM symbols of a slot. In unlicensed spectrum, PSFCH transmission</w:t>
      </w:r>
      <w:r>
        <w:t>s</w:t>
      </w:r>
      <w:r w:rsidRPr="004263CC">
        <w:t xml:space="preserve"> may not be initiated due to LBT failure. This will lead to retransmission of PSSCH consuming substantially more resources and increasing latency.   </w:t>
      </w:r>
    </w:p>
    <w:p w14:paraId="42D1D05A" w14:textId="77777777" w:rsidR="0099367B" w:rsidRDefault="0099367B" w:rsidP="0099367B">
      <w:pPr>
        <w:spacing w:after="0"/>
        <w:jc w:val="both"/>
      </w:pPr>
    </w:p>
    <w:p w14:paraId="13973C4B" w14:textId="74CC3E71" w:rsidR="00101D8E" w:rsidRDefault="00855183" w:rsidP="0099367B">
      <w:pPr>
        <w:spacing w:after="0"/>
        <w:jc w:val="both"/>
      </w:pPr>
      <w:r w:rsidRPr="00855183">
        <w:t>In current specification, the 2nd stage SCI includes a HARQ feedback enabled/disabled indicator.</w:t>
      </w:r>
      <w:r>
        <w:t xml:space="preserve"> </w:t>
      </w:r>
      <w:r w:rsidR="00EC756E">
        <w:t xml:space="preserve">However, </w:t>
      </w:r>
      <w:r w:rsidR="00101D8E">
        <w:t xml:space="preserve">in the MAC specification, </w:t>
      </w:r>
      <w:r w:rsidR="00F52BCC">
        <w:t xml:space="preserve">a UE when performing a transmission is not allowed to select </w:t>
      </w:r>
      <w:r w:rsidR="00090E82">
        <w:t>or not to request HARQ feedback and instead the need for HARQ feedback is configured by logical channel.</w:t>
      </w:r>
      <w:r w:rsidR="00F82E9F">
        <w:t xml:space="preserve"> In unlicensed operation, it is worthwhile to relax this restriction </w:t>
      </w:r>
      <w:r w:rsidR="005346B1">
        <w:t>as the transmitting device can be aware how difficult it is to acquire access to the channel (i.e.</w:t>
      </w:r>
      <w:r w:rsidR="007008A1">
        <w:t>,</w:t>
      </w:r>
      <w:r w:rsidR="005346B1">
        <w:t xml:space="preserve"> to successfully complete the LBT procedure)</w:t>
      </w:r>
      <w:r w:rsidR="00E04C2B">
        <w:t xml:space="preserve">. Therefore, </w:t>
      </w:r>
      <w:r w:rsidR="00DD241D">
        <w:t xml:space="preserve">in situations where it is likely that the receiving </w:t>
      </w:r>
      <w:r w:rsidR="007008A1">
        <w:t xml:space="preserve">UE </w:t>
      </w:r>
      <w:r w:rsidR="00DD241D">
        <w:t xml:space="preserve">will not be able to provide HARQ feedback due to </w:t>
      </w:r>
      <w:r w:rsidR="00CE3817">
        <w:t xml:space="preserve">expected LBT failure, then the transmitting </w:t>
      </w:r>
      <w:r w:rsidR="00E04C2B">
        <w:t xml:space="preserve">UE </w:t>
      </w:r>
      <w:r w:rsidR="00CE3817">
        <w:t xml:space="preserve">should be allowed to not request for </w:t>
      </w:r>
      <w:r w:rsidR="00D966FE">
        <w:t xml:space="preserve">HARQ </w:t>
      </w:r>
      <w:r w:rsidR="00CE3817">
        <w:t>feedback</w:t>
      </w:r>
      <w:r w:rsidR="00E04C2B">
        <w:t xml:space="preserve"> and adjust its transmission parameters to </w:t>
      </w:r>
      <w:r w:rsidR="00B849FB">
        <w:t xml:space="preserve">avoid a HARQ </w:t>
      </w:r>
      <w:r w:rsidR="00381A2E">
        <w:t>retransmission</w:t>
      </w:r>
      <w:r w:rsidR="0035389C">
        <w:t xml:space="preserve"> instead</w:t>
      </w:r>
      <w:r w:rsidR="00CE3817">
        <w:t>.</w:t>
      </w:r>
    </w:p>
    <w:p w14:paraId="57A9E5A6" w14:textId="77777777" w:rsidR="00CE3817" w:rsidRDefault="00CE3817" w:rsidP="0099367B">
      <w:pPr>
        <w:spacing w:after="0"/>
        <w:jc w:val="both"/>
      </w:pPr>
    </w:p>
    <w:p w14:paraId="2E7140C5" w14:textId="6F27B393" w:rsidR="00CE3817" w:rsidRPr="001D4861" w:rsidRDefault="00CE3817" w:rsidP="0099367B">
      <w:pPr>
        <w:spacing w:after="0"/>
        <w:jc w:val="both"/>
        <w:rPr>
          <w:iCs/>
        </w:rPr>
      </w:pPr>
      <w:r w:rsidRPr="001D4861">
        <w:rPr>
          <w:b/>
          <w:iCs/>
          <w:lang w:val="en-US"/>
        </w:rPr>
        <w:t xml:space="preserve">Proposal </w:t>
      </w:r>
      <w:r w:rsidR="00587447">
        <w:rPr>
          <w:b/>
          <w:iCs/>
          <w:lang w:val="en-US"/>
        </w:rPr>
        <w:t>4</w:t>
      </w:r>
      <w:r w:rsidRPr="001D4861">
        <w:rPr>
          <w:b/>
          <w:iCs/>
          <w:lang w:val="en-US"/>
        </w:rPr>
        <w:t>: RAN2 to</w:t>
      </w:r>
      <w:r w:rsidR="003017D7" w:rsidRPr="001D4861">
        <w:rPr>
          <w:b/>
          <w:iCs/>
          <w:lang w:val="en-US"/>
        </w:rPr>
        <w:t xml:space="preserve"> study if a transmitter UE should be allowed to request or not a HARQ feedback based on the perceived channel access conditions.</w:t>
      </w:r>
    </w:p>
    <w:p w14:paraId="1F25FCE0" w14:textId="77777777" w:rsidR="00090E82" w:rsidRDefault="00090E82" w:rsidP="0099367B">
      <w:pPr>
        <w:spacing w:after="0"/>
        <w:jc w:val="both"/>
      </w:pPr>
    </w:p>
    <w:p w14:paraId="3FA84571" w14:textId="77777777" w:rsidR="00101D8E" w:rsidRDefault="00101D8E" w:rsidP="009339CB">
      <w:pPr>
        <w:pStyle w:val="Heading1"/>
      </w:pPr>
    </w:p>
    <w:p w14:paraId="69B7B8E6" w14:textId="34B5DB3B" w:rsidR="009339CB" w:rsidRPr="006E13D1" w:rsidRDefault="0046112E" w:rsidP="009339CB">
      <w:pPr>
        <w:pStyle w:val="Heading1"/>
      </w:pPr>
      <w:r>
        <w:t>4</w:t>
      </w:r>
      <w:r w:rsidR="009339CB" w:rsidRPr="006E13D1">
        <w:tab/>
      </w:r>
      <w:r w:rsidR="009339CB">
        <w:t>Conclusion</w:t>
      </w:r>
    </w:p>
    <w:p w14:paraId="6E24B0F4" w14:textId="7DCBD527" w:rsidR="009339CB" w:rsidRDefault="009339CB" w:rsidP="009339CB">
      <w:r>
        <w:t>This document has made the following observations</w:t>
      </w:r>
      <w:r w:rsidR="0046112E">
        <w:t xml:space="preserve"> and proposals</w:t>
      </w:r>
      <w:r>
        <w:t>:</w:t>
      </w:r>
    </w:p>
    <w:p w14:paraId="2500F989" w14:textId="77777777" w:rsidR="00884830" w:rsidRPr="001D4861" w:rsidRDefault="00884830" w:rsidP="00884830">
      <w:pPr>
        <w:rPr>
          <w:iCs/>
        </w:rPr>
      </w:pPr>
      <w:r w:rsidRPr="001D4861">
        <w:rPr>
          <w:b/>
          <w:iCs/>
          <w:lang w:val="en-US"/>
        </w:rPr>
        <w:t xml:space="preserve">Observation </w:t>
      </w:r>
      <w:r w:rsidRPr="001D4861">
        <w:rPr>
          <w:b/>
          <w:iCs/>
          <w:color w:val="2B579A"/>
          <w:shd w:val="clear" w:color="auto" w:fill="E6E6E6"/>
          <w:lang w:val="en-US"/>
        </w:rPr>
        <w:fldChar w:fldCharType="begin"/>
      </w:r>
      <w:r w:rsidRPr="001D4861">
        <w:rPr>
          <w:b/>
          <w:iCs/>
          <w:lang w:val="en-US"/>
        </w:rPr>
        <w:instrText xml:space="preserve"> SEQ Obs \* Arabic </w:instrText>
      </w:r>
      <w:r w:rsidRPr="001D4861">
        <w:rPr>
          <w:b/>
          <w:iCs/>
          <w:color w:val="2B579A"/>
          <w:shd w:val="clear" w:color="auto" w:fill="E6E6E6"/>
          <w:lang w:val="en-US"/>
        </w:rPr>
        <w:fldChar w:fldCharType="separate"/>
      </w:r>
      <w:r w:rsidRPr="001D4861">
        <w:rPr>
          <w:b/>
          <w:iCs/>
          <w:noProof/>
          <w:lang w:val="en-US"/>
        </w:rPr>
        <w:t>1</w:t>
      </w:r>
      <w:r w:rsidRPr="001D4861">
        <w:rPr>
          <w:b/>
          <w:iCs/>
          <w:color w:val="2B579A"/>
          <w:shd w:val="clear" w:color="auto" w:fill="E6E6E6"/>
          <w:lang w:val="en-US"/>
        </w:rPr>
        <w:fldChar w:fldCharType="end"/>
      </w:r>
      <w:r w:rsidRPr="001D4861">
        <w:rPr>
          <w:b/>
          <w:bCs/>
          <w:iCs/>
          <w:lang w:val="en-US"/>
        </w:rPr>
        <w:t>:</w:t>
      </w:r>
      <w:r w:rsidRPr="001D4861">
        <w:rPr>
          <w:iCs/>
          <w:lang w:val="en-US"/>
        </w:rPr>
        <w:tab/>
      </w:r>
      <w:r w:rsidRPr="001D4861">
        <w:rPr>
          <w:b/>
          <w:iCs/>
          <w:lang w:val="en-US"/>
        </w:rPr>
        <w:t>Channel access mechanisms defined for NR-U in TS 37.213 can</w:t>
      </w:r>
      <w:r>
        <w:rPr>
          <w:b/>
          <w:iCs/>
          <w:lang w:val="en-US"/>
        </w:rPr>
        <w:t xml:space="preserve"> and should</w:t>
      </w:r>
      <w:r w:rsidRPr="001D4861">
        <w:rPr>
          <w:b/>
          <w:iCs/>
          <w:lang w:val="en-US"/>
        </w:rPr>
        <w:t xml:space="preserve"> be largely re-used with SL-U, such that the role of TX UE is </w:t>
      </w:r>
      <w:proofErr w:type="gramStart"/>
      <w:r w:rsidRPr="001D4861">
        <w:rPr>
          <w:b/>
          <w:iCs/>
          <w:lang w:val="en-US"/>
        </w:rPr>
        <w:t>similar to</w:t>
      </w:r>
      <w:proofErr w:type="gramEnd"/>
      <w:r w:rsidRPr="001D4861">
        <w:rPr>
          <w:b/>
          <w:iCs/>
          <w:lang w:val="en-US"/>
        </w:rPr>
        <w:t xml:space="preserve"> gNB, and the role of RX UE is similar to UE.</w:t>
      </w:r>
    </w:p>
    <w:p w14:paraId="74CA8CCB" w14:textId="77777777" w:rsidR="00884830" w:rsidRPr="00891439" w:rsidRDefault="00884830" w:rsidP="00884830">
      <w:pPr>
        <w:jc w:val="both"/>
        <w:rPr>
          <w:lang w:val="en-US"/>
        </w:rPr>
      </w:pPr>
      <w:r w:rsidRPr="00891439">
        <w:rPr>
          <w:b/>
          <w:lang w:val="en-US"/>
        </w:rPr>
        <w:t xml:space="preserve">Observation </w:t>
      </w:r>
      <w:r w:rsidRPr="00891439">
        <w:rPr>
          <w:b/>
          <w:color w:val="2B579A"/>
          <w:shd w:val="clear" w:color="auto" w:fill="E6E6E6"/>
          <w:lang w:val="en-US"/>
        </w:rPr>
        <w:fldChar w:fldCharType="begin"/>
      </w:r>
      <w:r w:rsidRPr="00891439">
        <w:rPr>
          <w:b/>
          <w:lang w:val="en-US"/>
        </w:rPr>
        <w:instrText xml:space="preserve"> SEQ Obs \* Arabic </w:instrText>
      </w:r>
      <w:r w:rsidRPr="00891439">
        <w:rPr>
          <w:b/>
          <w:color w:val="2B579A"/>
          <w:shd w:val="clear" w:color="auto" w:fill="E6E6E6"/>
          <w:lang w:val="en-US"/>
        </w:rPr>
        <w:fldChar w:fldCharType="separate"/>
      </w:r>
      <w:r w:rsidRPr="00891439">
        <w:rPr>
          <w:b/>
          <w:noProof/>
          <w:lang w:val="en-US"/>
        </w:rPr>
        <w:t>2</w:t>
      </w:r>
      <w:r w:rsidRPr="00891439">
        <w:rPr>
          <w:b/>
          <w:color w:val="2B579A"/>
          <w:shd w:val="clear" w:color="auto" w:fill="E6E6E6"/>
          <w:lang w:val="en-US"/>
        </w:rPr>
        <w:fldChar w:fldCharType="end"/>
      </w:r>
      <w:r w:rsidRPr="00891439">
        <w:rPr>
          <w:b/>
          <w:lang w:val="en-US"/>
        </w:rPr>
        <w:t>: The same CAPC is applied to PSCCH and to PSSCH as these channels are anyway transmitted together in the same slot.</w:t>
      </w:r>
    </w:p>
    <w:p w14:paraId="1A0F601E" w14:textId="77777777" w:rsidR="00884830" w:rsidRPr="008435C4" w:rsidRDefault="00884830" w:rsidP="00884830">
      <w:pPr>
        <w:spacing w:after="240"/>
        <w:jc w:val="both"/>
        <w:rPr>
          <w:b/>
          <w:bCs/>
          <w:i/>
          <w:iCs/>
          <w:lang w:val="en-US"/>
        </w:rPr>
      </w:pPr>
      <w:r w:rsidRPr="009D1C89">
        <w:rPr>
          <w:b/>
          <w:bCs/>
          <w:lang w:val="en-US"/>
        </w:rPr>
        <w:t xml:space="preserve">Proposal </w:t>
      </w:r>
      <w:r w:rsidRPr="009D1C89">
        <w:rPr>
          <w:b/>
          <w:bCs/>
          <w:color w:val="2B579A"/>
          <w:lang w:val="en-US"/>
        </w:rPr>
        <w:fldChar w:fldCharType="begin"/>
      </w:r>
      <w:r w:rsidRPr="009D1C89">
        <w:rPr>
          <w:b/>
          <w:bCs/>
          <w:lang w:val="en-US"/>
        </w:rPr>
        <w:instrText xml:space="preserve"> SEQ Proposal \* Arabic </w:instrText>
      </w:r>
      <w:r w:rsidRPr="009D1C89">
        <w:rPr>
          <w:b/>
          <w:bCs/>
          <w:color w:val="2B579A"/>
          <w:lang w:val="en-US"/>
        </w:rPr>
        <w:fldChar w:fldCharType="separate"/>
      </w:r>
      <w:r w:rsidRPr="009D1C89">
        <w:rPr>
          <w:b/>
          <w:bCs/>
          <w:noProof/>
          <w:lang w:val="en-US"/>
        </w:rPr>
        <w:t>1</w:t>
      </w:r>
      <w:r w:rsidRPr="009D1C89">
        <w:rPr>
          <w:b/>
          <w:bCs/>
          <w:color w:val="2B579A"/>
          <w:lang w:val="en-US"/>
        </w:rPr>
        <w:fldChar w:fldCharType="end"/>
      </w:r>
      <w:r w:rsidRPr="009D1C89">
        <w:rPr>
          <w:b/>
          <w:bCs/>
          <w:lang w:val="en-US"/>
        </w:rPr>
        <w:t xml:space="preserve">: For selection of CAPC for PSCCH/PSSCH, reuse similar approach as used for NR-U UL CG PUSCH, i.e., based on priority of LCH data multiplexed in the TB. FFS potential exceptions, </w:t>
      </w:r>
      <w:proofErr w:type="gramStart"/>
      <w:r w:rsidRPr="009D1C89">
        <w:rPr>
          <w:b/>
          <w:bCs/>
          <w:lang w:val="en-US"/>
        </w:rPr>
        <w:t>e.g.</w:t>
      </w:r>
      <w:proofErr w:type="gramEnd"/>
      <w:r w:rsidRPr="009D1C89">
        <w:rPr>
          <w:b/>
          <w:bCs/>
          <w:lang w:val="en-US"/>
        </w:rPr>
        <w:t xml:space="preserve"> SL SRB</w:t>
      </w:r>
      <w:r>
        <w:rPr>
          <w:b/>
          <w:bCs/>
          <w:i/>
          <w:iCs/>
          <w:lang w:val="en-US"/>
        </w:rPr>
        <w:t>.</w:t>
      </w:r>
    </w:p>
    <w:p w14:paraId="6DC71DE6" w14:textId="77777777" w:rsidR="00884830" w:rsidRPr="001D4861" w:rsidRDefault="00884830" w:rsidP="00884830">
      <w:pPr>
        <w:spacing w:after="240"/>
        <w:jc w:val="both"/>
        <w:rPr>
          <w:rFonts w:cs="Arial"/>
          <w:color w:val="000000" w:themeColor="text1"/>
          <w:lang w:val="en-US"/>
        </w:rPr>
      </w:pPr>
      <w:r w:rsidRPr="001D4861">
        <w:rPr>
          <w:b/>
          <w:lang w:val="en-US"/>
        </w:rPr>
        <w:t xml:space="preserve">Observation </w:t>
      </w:r>
      <w:r w:rsidRPr="001D4861">
        <w:rPr>
          <w:b/>
          <w:color w:val="2B579A"/>
          <w:shd w:val="clear" w:color="auto" w:fill="E6E6E6"/>
          <w:lang w:val="en-US"/>
        </w:rPr>
        <w:fldChar w:fldCharType="begin"/>
      </w:r>
      <w:r w:rsidRPr="001D4861">
        <w:rPr>
          <w:b/>
          <w:lang w:val="en-US"/>
        </w:rPr>
        <w:instrText xml:space="preserve"> SEQ Obs \* Arabic </w:instrText>
      </w:r>
      <w:r w:rsidRPr="001D4861">
        <w:rPr>
          <w:b/>
          <w:color w:val="2B579A"/>
          <w:shd w:val="clear" w:color="auto" w:fill="E6E6E6"/>
          <w:lang w:val="en-US"/>
        </w:rPr>
        <w:fldChar w:fldCharType="separate"/>
      </w:r>
      <w:r w:rsidRPr="001D4861">
        <w:rPr>
          <w:b/>
          <w:noProof/>
          <w:lang w:val="en-US"/>
        </w:rPr>
        <w:t>3</w:t>
      </w:r>
      <w:r w:rsidRPr="001D4861">
        <w:rPr>
          <w:b/>
          <w:color w:val="2B579A"/>
          <w:shd w:val="clear" w:color="auto" w:fill="E6E6E6"/>
          <w:lang w:val="en-US"/>
        </w:rPr>
        <w:fldChar w:fldCharType="end"/>
      </w:r>
      <w:r w:rsidRPr="001D4861">
        <w:rPr>
          <w:b/>
          <w:lang w:val="en-US"/>
        </w:rPr>
        <w:t xml:space="preserve">: If different UEs apply different CAPC for transmitting PSFCH in a same PSFCH slot, the UE(s) which apply the highest CAPC will have lower likelihood of succeeding LBT. </w:t>
      </w:r>
    </w:p>
    <w:p w14:paraId="58A928A3" w14:textId="77777777" w:rsidR="00884830" w:rsidRPr="006924E7" w:rsidRDefault="00884830" w:rsidP="00884830">
      <w:pPr>
        <w:jc w:val="both"/>
        <w:rPr>
          <w:b/>
          <w:bCs/>
          <w:lang w:val="en-US"/>
        </w:rPr>
      </w:pPr>
      <w:r w:rsidRPr="006924E7">
        <w:rPr>
          <w:b/>
          <w:bCs/>
          <w:lang w:val="en-US"/>
        </w:rPr>
        <w:t xml:space="preserve">Proposal </w:t>
      </w:r>
      <w:r>
        <w:rPr>
          <w:b/>
          <w:bCs/>
          <w:lang w:val="en-US"/>
        </w:rPr>
        <w:t>2</w:t>
      </w:r>
      <w:r w:rsidRPr="006924E7">
        <w:rPr>
          <w:b/>
          <w:bCs/>
          <w:lang w:val="en-US"/>
        </w:rPr>
        <w:t>: In case of simultaneous PSFCH transmissions mapped to the same PSFCH slot, if type 1 LBT is applied for transmitting PSFCH, the UEs should select the CAPC associated with the highest transmission priority among the monitored SCIs.</w:t>
      </w:r>
    </w:p>
    <w:p w14:paraId="453234E0" w14:textId="77777777" w:rsidR="00884830" w:rsidRPr="00587447" w:rsidRDefault="00884830" w:rsidP="00884830">
      <w:pPr>
        <w:jc w:val="both"/>
        <w:rPr>
          <w:b/>
          <w:bCs/>
        </w:rPr>
      </w:pPr>
      <w:r w:rsidRPr="001D4861">
        <w:rPr>
          <w:b/>
          <w:bCs/>
        </w:rPr>
        <w:t xml:space="preserve">Proposal </w:t>
      </w:r>
      <w:r>
        <w:rPr>
          <w:b/>
          <w:bCs/>
        </w:rPr>
        <w:t>3</w:t>
      </w:r>
      <w:r w:rsidRPr="001D4861">
        <w:rPr>
          <w:b/>
          <w:bCs/>
        </w:rPr>
        <w:t>: In case of multiple PSFCH is supported, if type 1 LBT is applied for transmitting PSFCH, the UEs can be allowed to upgrade the CAPC to a higher priority depending on LBT status of previous PSFCH transmission attempts.</w:t>
      </w:r>
    </w:p>
    <w:p w14:paraId="62BC1C70" w14:textId="77777777" w:rsidR="00884830" w:rsidRPr="001D4861" w:rsidRDefault="00884830" w:rsidP="00884830">
      <w:pPr>
        <w:spacing w:after="0"/>
        <w:jc w:val="both"/>
        <w:rPr>
          <w:iCs/>
        </w:rPr>
      </w:pPr>
      <w:r w:rsidRPr="001D4861">
        <w:rPr>
          <w:b/>
          <w:iCs/>
          <w:lang w:val="en-US"/>
        </w:rPr>
        <w:t xml:space="preserve">Proposal </w:t>
      </w:r>
      <w:r>
        <w:rPr>
          <w:b/>
          <w:iCs/>
          <w:lang w:val="en-US"/>
        </w:rPr>
        <w:t>4</w:t>
      </w:r>
      <w:r w:rsidRPr="001D4861">
        <w:rPr>
          <w:b/>
          <w:iCs/>
          <w:lang w:val="en-US"/>
        </w:rPr>
        <w:t>: RAN2 to study if a transmitter UE should be allowed to request or not a HARQ feedback based on the perceived channel access conditions.</w:t>
      </w:r>
    </w:p>
    <w:p w14:paraId="259EEE34" w14:textId="77777777" w:rsidR="009339CB" w:rsidRPr="00884830"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0E82"/>
    <w:rsid w:val="00094568"/>
    <w:rsid w:val="000B7BCF"/>
    <w:rsid w:val="000C522B"/>
    <w:rsid w:val="000D58AB"/>
    <w:rsid w:val="00101D8E"/>
    <w:rsid w:val="00112F1A"/>
    <w:rsid w:val="00136AA2"/>
    <w:rsid w:val="00142842"/>
    <w:rsid w:val="00145075"/>
    <w:rsid w:val="001741A0"/>
    <w:rsid w:val="00175FA0"/>
    <w:rsid w:val="00194CD0"/>
    <w:rsid w:val="001A0925"/>
    <w:rsid w:val="001B49C9"/>
    <w:rsid w:val="001C23F4"/>
    <w:rsid w:val="001C4F79"/>
    <w:rsid w:val="001D4861"/>
    <w:rsid w:val="001E7649"/>
    <w:rsid w:val="001F168B"/>
    <w:rsid w:val="001F7831"/>
    <w:rsid w:val="00204045"/>
    <w:rsid w:val="0020712B"/>
    <w:rsid w:val="00210745"/>
    <w:rsid w:val="002227EA"/>
    <w:rsid w:val="0022606D"/>
    <w:rsid w:val="00231728"/>
    <w:rsid w:val="00244A05"/>
    <w:rsid w:val="00250404"/>
    <w:rsid w:val="00256B74"/>
    <w:rsid w:val="002610D8"/>
    <w:rsid w:val="002747EC"/>
    <w:rsid w:val="002855BF"/>
    <w:rsid w:val="00290242"/>
    <w:rsid w:val="002B279A"/>
    <w:rsid w:val="002B2988"/>
    <w:rsid w:val="002F0D22"/>
    <w:rsid w:val="003017D7"/>
    <w:rsid w:val="00311B17"/>
    <w:rsid w:val="003172DC"/>
    <w:rsid w:val="00325AE3"/>
    <w:rsid w:val="00326069"/>
    <w:rsid w:val="0035389C"/>
    <w:rsid w:val="0035462D"/>
    <w:rsid w:val="00362932"/>
    <w:rsid w:val="0036459E"/>
    <w:rsid w:val="00364B41"/>
    <w:rsid w:val="00381A2E"/>
    <w:rsid w:val="00383096"/>
    <w:rsid w:val="0039346C"/>
    <w:rsid w:val="003A41EF"/>
    <w:rsid w:val="003B40AD"/>
    <w:rsid w:val="003C4E37"/>
    <w:rsid w:val="003E16BE"/>
    <w:rsid w:val="003F4E28"/>
    <w:rsid w:val="004006E8"/>
    <w:rsid w:val="00401855"/>
    <w:rsid w:val="00405A2E"/>
    <w:rsid w:val="0041102E"/>
    <w:rsid w:val="00427988"/>
    <w:rsid w:val="00446C3A"/>
    <w:rsid w:val="0046112E"/>
    <w:rsid w:val="00465587"/>
    <w:rsid w:val="00477455"/>
    <w:rsid w:val="004A1F7B"/>
    <w:rsid w:val="004C44D2"/>
    <w:rsid w:val="004D3578"/>
    <w:rsid w:val="004D380D"/>
    <w:rsid w:val="004E213A"/>
    <w:rsid w:val="004F451D"/>
    <w:rsid w:val="004F4540"/>
    <w:rsid w:val="004F73A7"/>
    <w:rsid w:val="00503171"/>
    <w:rsid w:val="00506C28"/>
    <w:rsid w:val="005346B1"/>
    <w:rsid w:val="00534DA0"/>
    <w:rsid w:val="00543E6C"/>
    <w:rsid w:val="00565087"/>
    <w:rsid w:val="0056573F"/>
    <w:rsid w:val="00571279"/>
    <w:rsid w:val="00571671"/>
    <w:rsid w:val="00587447"/>
    <w:rsid w:val="005A13AB"/>
    <w:rsid w:val="005A49C6"/>
    <w:rsid w:val="005C766E"/>
    <w:rsid w:val="005C7CD5"/>
    <w:rsid w:val="005D69A5"/>
    <w:rsid w:val="00611566"/>
    <w:rsid w:val="0063778A"/>
    <w:rsid w:val="00642C11"/>
    <w:rsid w:val="00646D99"/>
    <w:rsid w:val="00656910"/>
    <w:rsid w:val="006574C0"/>
    <w:rsid w:val="006924E7"/>
    <w:rsid w:val="00696821"/>
    <w:rsid w:val="006C66D8"/>
    <w:rsid w:val="006D1E24"/>
    <w:rsid w:val="006D35DE"/>
    <w:rsid w:val="006E1057"/>
    <w:rsid w:val="006E1405"/>
    <w:rsid w:val="006E1417"/>
    <w:rsid w:val="006E18D7"/>
    <w:rsid w:val="006F057B"/>
    <w:rsid w:val="006F6A2C"/>
    <w:rsid w:val="007008A1"/>
    <w:rsid w:val="0070469D"/>
    <w:rsid w:val="007069DC"/>
    <w:rsid w:val="00710201"/>
    <w:rsid w:val="0072073A"/>
    <w:rsid w:val="00725B1E"/>
    <w:rsid w:val="007342B5"/>
    <w:rsid w:val="00734A5B"/>
    <w:rsid w:val="00744E76"/>
    <w:rsid w:val="00757D40"/>
    <w:rsid w:val="007662B5"/>
    <w:rsid w:val="00781F0F"/>
    <w:rsid w:val="00784F38"/>
    <w:rsid w:val="0078727C"/>
    <w:rsid w:val="0079049D"/>
    <w:rsid w:val="00793DC5"/>
    <w:rsid w:val="00796823"/>
    <w:rsid w:val="007A2E55"/>
    <w:rsid w:val="007B18D8"/>
    <w:rsid w:val="007C095F"/>
    <w:rsid w:val="007C2DD0"/>
    <w:rsid w:val="007F2E08"/>
    <w:rsid w:val="008024FA"/>
    <w:rsid w:val="008028A4"/>
    <w:rsid w:val="00813245"/>
    <w:rsid w:val="00840DE0"/>
    <w:rsid w:val="00840E1A"/>
    <w:rsid w:val="00847CD0"/>
    <w:rsid w:val="00855183"/>
    <w:rsid w:val="008607A8"/>
    <w:rsid w:val="0086354A"/>
    <w:rsid w:val="00874A28"/>
    <w:rsid w:val="008768CA"/>
    <w:rsid w:val="00877EF9"/>
    <w:rsid w:val="00880559"/>
    <w:rsid w:val="00884830"/>
    <w:rsid w:val="00891439"/>
    <w:rsid w:val="008B5306"/>
    <w:rsid w:val="008C11C4"/>
    <w:rsid w:val="008C2E2A"/>
    <w:rsid w:val="008C3057"/>
    <w:rsid w:val="008D2E4D"/>
    <w:rsid w:val="008E4C58"/>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9367B"/>
    <w:rsid w:val="009A0AF3"/>
    <w:rsid w:val="009B07CD"/>
    <w:rsid w:val="009B3853"/>
    <w:rsid w:val="009C19E9"/>
    <w:rsid w:val="009D1C89"/>
    <w:rsid w:val="009D74A6"/>
    <w:rsid w:val="009E0E87"/>
    <w:rsid w:val="00A10F02"/>
    <w:rsid w:val="00A17176"/>
    <w:rsid w:val="00A204CA"/>
    <w:rsid w:val="00A209D6"/>
    <w:rsid w:val="00A22738"/>
    <w:rsid w:val="00A31080"/>
    <w:rsid w:val="00A36F5F"/>
    <w:rsid w:val="00A430EC"/>
    <w:rsid w:val="00A53724"/>
    <w:rsid w:val="00A54B2B"/>
    <w:rsid w:val="00A703B6"/>
    <w:rsid w:val="00A82346"/>
    <w:rsid w:val="00A9671C"/>
    <w:rsid w:val="00AA1553"/>
    <w:rsid w:val="00AF5FF2"/>
    <w:rsid w:val="00B0264D"/>
    <w:rsid w:val="00B05164"/>
    <w:rsid w:val="00B05380"/>
    <w:rsid w:val="00B05962"/>
    <w:rsid w:val="00B15449"/>
    <w:rsid w:val="00B16C2F"/>
    <w:rsid w:val="00B27303"/>
    <w:rsid w:val="00B47FD1"/>
    <w:rsid w:val="00B516BB"/>
    <w:rsid w:val="00B7538C"/>
    <w:rsid w:val="00B81BA3"/>
    <w:rsid w:val="00B849FB"/>
    <w:rsid w:val="00B84DB2"/>
    <w:rsid w:val="00BC3555"/>
    <w:rsid w:val="00BE2F34"/>
    <w:rsid w:val="00C036E0"/>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D6285"/>
    <w:rsid w:val="00CE3817"/>
    <w:rsid w:val="00D268CC"/>
    <w:rsid w:val="00D33BE3"/>
    <w:rsid w:val="00D3792D"/>
    <w:rsid w:val="00D55E47"/>
    <w:rsid w:val="00D62E19"/>
    <w:rsid w:val="00D67CD1"/>
    <w:rsid w:val="00D738D6"/>
    <w:rsid w:val="00D756F7"/>
    <w:rsid w:val="00D80795"/>
    <w:rsid w:val="00D854BE"/>
    <w:rsid w:val="00D87E00"/>
    <w:rsid w:val="00D9134D"/>
    <w:rsid w:val="00D966FE"/>
    <w:rsid w:val="00D96D11"/>
    <w:rsid w:val="00DA7A03"/>
    <w:rsid w:val="00DB0DB8"/>
    <w:rsid w:val="00DB1818"/>
    <w:rsid w:val="00DC309B"/>
    <w:rsid w:val="00DC4DA2"/>
    <w:rsid w:val="00DC5261"/>
    <w:rsid w:val="00DD241D"/>
    <w:rsid w:val="00DE25D2"/>
    <w:rsid w:val="00DF7C20"/>
    <w:rsid w:val="00E04C2B"/>
    <w:rsid w:val="00E32E69"/>
    <w:rsid w:val="00E46C08"/>
    <w:rsid w:val="00E471CF"/>
    <w:rsid w:val="00E62835"/>
    <w:rsid w:val="00E73123"/>
    <w:rsid w:val="00E77645"/>
    <w:rsid w:val="00E83697"/>
    <w:rsid w:val="00E859B6"/>
    <w:rsid w:val="00E9200A"/>
    <w:rsid w:val="00EA66C9"/>
    <w:rsid w:val="00EB5D32"/>
    <w:rsid w:val="00EC4A25"/>
    <w:rsid w:val="00EC756E"/>
    <w:rsid w:val="00ED2A85"/>
    <w:rsid w:val="00ED609E"/>
    <w:rsid w:val="00EF5D4A"/>
    <w:rsid w:val="00EF612C"/>
    <w:rsid w:val="00F025A2"/>
    <w:rsid w:val="00F036E9"/>
    <w:rsid w:val="00F07388"/>
    <w:rsid w:val="00F2026E"/>
    <w:rsid w:val="00F2210A"/>
    <w:rsid w:val="00F31372"/>
    <w:rsid w:val="00F37743"/>
    <w:rsid w:val="00F52BCC"/>
    <w:rsid w:val="00F54A3D"/>
    <w:rsid w:val="00F54CB0"/>
    <w:rsid w:val="00F579CD"/>
    <w:rsid w:val="00F653B8"/>
    <w:rsid w:val="00F71B89"/>
    <w:rsid w:val="00F7353C"/>
    <w:rsid w:val="00F76F8F"/>
    <w:rsid w:val="00F82E9F"/>
    <w:rsid w:val="00F87257"/>
    <w:rsid w:val="00F941DF"/>
    <w:rsid w:val="00FA1266"/>
    <w:rsid w:val="00FA375F"/>
    <w:rsid w:val="00FB36FA"/>
    <w:rsid w:val="00FC1192"/>
    <w:rsid w:val="00FD136F"/>
    <w:rsid w:val="00FE106D"/>
    <w:rsid w:val="00FE251B"/>
    <w:rsid w:val="05BBEAFA"/>
    <w:rsid w:val="19AA5FE6"/>
    <w:rsid w:val="1BA7B0DD"/>
    <w:rsid w:val="229F56F5"/>
    <w:rsid w:val="3EA7C3B3"/>
    <w:rsid w:val="4692BCCF"/>
    <w:rsid w:val="4E40DE58"/>
    <w:rsid w:val="55231672"/>
    <w:rsid w:val="6156A7A0"/>
    <w:rsid w:val="79E953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49E4583B-35FE-44A3-BCAC-2D0918A68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CD6285"/>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D6285"/>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CD6285"/>
    <w:rPr>
      <w:rFonts w:eastAsia="SimSun"/>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74A28"/>
    <w:pPr>
      <w:spacing w:after="200"/>
    </w:pPr>
    <w:rPr>
      <w:rFonts w:ascii="Arial" w:eastAsia="SimSun" w:hAnsi="Arial"/>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874A28"/>
    <w:rPr>
      <w:rFonts w:ascii="Arial" w:eastAsia="SimSun" w:hAnsi="Arial"/>
      <w:i/>
      <w:iCs/>
      <w:color w:val="44546A" w:themeColor="text2"/>
      <w:sz w:val="18"/>
      <w:szCs w:val="18"/>
      <w:lang w:eastAsia="en-US"/>
    </w:rPr>
  </w:style>
  <w:style w:type="character" w:customStyle="1" w:styleId="TACChar">
    <w:name w:val="TAC Char"/>
    <w:link w:val="TAC"/>
    <w:qFormat/>
    <w:locked/>
    <w:rsid w:val="00874A28"/>
    <w:rPr>
      <w:rFonts w:ascii="Arial" w:hAnsi="Arial"/>
      <w:sz w:val="18"/>
      <w:lang w:eastAsia="en-US"/>
    </w:rPr>
  </w:style>
  <w:style w:type="character" w:customStyle="1" w:styleId="TAHCar">
    <w:name w:val="TAH Car"/>
    <w:link w:val="TAH"/>
    <w:qFormat/>
    <w:locked/>
    <w:rsid w:val="00BE2F34"/>
    <w:rPr>
      <w:rFonts w:ascii="Arial" w:hAnsi="Arial"/>
      <w:b/>
      <w:sz w:val="18"/>
      <w:lang w:eastAsia="en-US"/>
    </w:rPr>
  </w:style>
  <w:style w:type="character" w:styleId="CommentReference">
    <w:name w:val="annotation reference"/>
    <w:rsid w:val="00D268CC"/>
    <w:rPr>
      <w:sz w:val="16"/>
    </w:rPr>
  </w:style>
  <w:style w:type="paragraph" w:styleId="CommentText">
    <w:name w:val="annotation text"/>
    <w:basedOn w:val="Normal"/>
    <w:link w:val="CommentTextChar"/>
    <w:rsid w:val="00D268CC"/>
    <w:rPr>
      <w:rFonts w:eastAsia="MS Mincho"/>
      <w:lang w:eastAsia="x-none"/>
    </w:rPr>
  </w:style>
  <w:style w:type="character" w:customStyle="1" w:styleId="CommentTextChar">
    <w:name w:val="Comment Text Char"/>
    <w:basedOn w:val="DefaultParagraphFont"/>
    <w:link w:val="CommentText"/>
    <w:rsid w:val="00D268CC"/>
    <w:rPr>
      <w:rFonts w:eastAsia="MS Mincho"/>
      <w:lang w:eastAsia="x-none"/>
    </w:rPr>
  </w:style>
  <w:style w:type="paragraph" w:styleId="CommentSubject">
    <w:name w:val="annotation subject"/>
    <w:basedOn w:val="CommentText"/>
    <w:next w:val="CommentText"/>
    <w:link w:val="CommentSubjectChar"/>
    <w:rsid w:val="0046112E"/>
    <w:rPr>
      <w:rFonts w:eastAsia="Times New Roman"/>
      <w:b/>
      <w:bCs/>
      <w:lang w:eastAsia="en-US"/>
    </w:rPr>
  </w:style>
  <w:style w:type="character" w:customStyle="1" w:styleId="CommentSubjectChar">
    <w:name w:val="Comment Subject Char"/>
    <w:basedOn w:val="CommentTextChar"/>
    <w:link w:val="CommentSubject"/>
    <w:rsid w:val="0046112E"/>
    <w:rPr>
      <w:rFonts w:eastAsia="MS Mincho"/>
      <w:b/>
      <w:bCs/>
      <w:lang w:eastAsia="en-US"/>
    </w:rPr>
  </w:style>
  <w:style w:type="character" w:customStyle="1" w:styleId="normaltextrun">
    <w:name w:val="normaltextrun"/>
    <w:basedOn w:val="DefaultParagraphFont"/>
    <w:uiPriority w:val="1"/>
    <w:rsid w:val="3EA7C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180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TSG_RAN/TSGR_97e/Docs/RP-2219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5AIRPNAIUNRU-859666464-12510</_dlc_DocId>
    <_dlc_DocIdUrl xmlns="71c5aaf6-e6ce-465b-b873-5148d2a4c105">
      <Url>https://nokia.sharepoint.com/sites/c5g/e2earch/_layouts/15/DocIdRedir.aspx?ID=5AIRPNAIUNRU-859666464-12510</Url>
      <Description>5AIRPNAIUNRU-859666464-12510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0E4F047-2521-4300-A395-032D76340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1940</Words>
  <Characters>10336</Characters>
  <Application>Microsoft Office Word</Application>
  <DocSecurity>0</DocSecurity>
  <Lines>86</Lines>
  <Paragraphs>24</Paragraphs>
  <ScaleCrop>false</ScaleCrop>
  <Manager/>
  <Company>Nokia</Company>
  <LinksUpToDate>false</LinksUpToDate>
  <CharactersWithSpaces>12252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Buthler, Jakob (Nokia - DK/Aalborg)</cp:lastModifiedBy>
  <cp:revision>172</cp:revision>
  <dcterms:created xsi:type="dcterms:W3CDTF">2016-08-12T22:53:00Z</dcterms:created>
  <dcterms:modified xsi:type="dcterms:W3CDTF">2022-09-29T19:03:00Z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fabbb7fb-794c-4072-93b2-8f26b581a10c</vt:lpwstr>
  </property>
</Properties>
</file>